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ХАРОВСКОГО МУНИЦИПАЛЬНОГО ОКРУГА</w:t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«13» 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г.  </w:t>
        <w:tab/>
        <w:tab/>
        <w:tab/>
        <w:tab/>
        <w:tab/>
        <w:t xml:space="preserve">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№ 988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vAlign w:val="top"/>
            <w:textDirection w:val="lrTb"/>
            <w:noWrap w:val="false"/>
          </w:tcPr>
          <w:p>
            <w:pPr>
              <w:pStyle w:val="665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>
              <w:rPr>
                <w:sz w:val="28"/>
                <w:szCs w:val="28"/>
              </w:rPr>
              <w:t xml:space="preserve">Харовского муниципального округа Вологодской области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665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665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</w:t>
      </w:r>
      <w:r>
        <w:rPr>
          <w:bCs/>
          <w:sz w:val="28"/>
          <w:szCs w:val="28"/>
        </w:rPr>
        <w:t xml:space="preserve">п. 3.2 ч. 1 ст. 13 Федерального закона от 08.11.2007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, </w:t>
      </w:r>
      <w:r/>
    </w:p>
    <w:p>
      <w:pPr>
        <w:pStyle w:val="665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ПОСТАНОВЛЯЮ:</w:t>
      </w:r>
      <w:r>
        <w:rPr>
          <w:bCs/>
          <w:sz w:val="28"/>
          <w:szCs w:val="28"/>
        </w:rPr>
      </w:r>
      <w:r/>
    </w:p>
    <w:p>
      <w:pPr>
        <w:pStyle w:val="665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 xml:space="preserve">Харовского муниципального округа Вологодской области.</w:t>
      </w:r>
      <w:r>
        <w:rPr>
          <w:sz w:val="28"/>
          <w:szCs w:val="28"/>
        </w:rPr>
      </w:r>
      <w:r/>
    </w:p>
    <w:p>
      <w:pPr>
        <w:pStyle w:val="66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постановление вступает в силу с момента его официального опубликования в «Официальном вестнике» - приложении к газете «Призыв» и на официальном сайте Харовского муниципального округа в информационно-телек</w:t>
      </w:r>
      <w:r>
        <w:rPr>
          <w:bCs/>
          <w:sz w:val="28"/>
          <w:szCs w:val="28"/>
        </w:rPr>
        <w:t xml:space="preserve">оммуникационной сети «Интернет»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66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Харовского муниципального округа по вопросам жилищно-коммунального хозяйства Белова А.В.</w:t>
      </w:r>
      <w:r/>
    </w:p>
    <w:p>
      <w:pPr>
        <w:pStyle w:val="66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6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                               О.В. Тихомиров</w:t>
      </w:r>
      <w:r>
        <w:rPr>
          <w:sz w:val="28"/>
          <w:szCs w:val="28"/>
        </w:rPr>
      </w:r>
      <w:r/>
    </w:p>
    <w:p>
      <w:pPr>
        <w:pStyle w:val="66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Утвержден</w:t>
      </w:r>
      <w:r/>
    </w:p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/>
    </w:p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</w:t>
      </w:r>
      <w:r/>
    </w:p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_____________2023 г.  № ____</w:t>
      </w:r>
      <w:r/>
    </w:p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right="-142"/>
        <w:jc w:val="center"/>
        <w:keepNext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65"/>
        <w:ind w:right="-142"/>
        <w:jc w:val="center"/>
        <w:keepNext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ПОЛОЖЕНИЕ</w:t>
      </w:r>
      <w:r/>
    </w:p>
    <w:p>
      <w:pPr>
        <w:pStyle w:val="665"/>
        <w:ind w:right="-143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о порядке создания и использования, </w:t>
      </w:r>
      <w:r/>
    </w:p>
    <w:p>
      <w:pPr>
        <w:pStyle w:val="665"/>
        <w:ind w:right="-143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в том числе на платной основе, парковок (парковочных мест),</w:t>
      </w:r>
      <w:r/>
    </w:p>
    <w:p>
      <w:pPr>
        <w:pStyle w:val="665"/>
        <w:ind w:right="-143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 расположенных на автомобильных дорогах общего пользования </w:t>
      </w:r>
      <w:r/>
    </w:p>
    <w:p>
      <w:pPr>
        <w:pStyle w:val="665"/>
        <w:ind w:right="-143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местного значения </w:t>
      </w:r>
      <w:r>
        <w:rPr>
          <w:bCs/>
          <w:sz w:val="28"/>
          <w:szCs w:val="28"/>
        </w:rPr>
        <w:t xml:space="preserve">Харовского муниципального округа Вологодской области</w:t>
      </w:r>
      <w:r>
        <w:rPr>
          <w:bCs/>
          <w:sz w:val="28"/>
          <w:szCs w:val="28"/>
        </w:rPr>
        <w:t xml:space="preserve"> </w:t>
      </w:r>
      <w:r/>
    </w:p>
    <w:p>
      <w:pPr>
        <w:pStyle w:val="665"/>
        <w:ind w:firstLine="567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п. 3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ч. 1 ст. 13 Федерального закона от 08.11.2007 </w:t>
        <w:br w:type="textWrapping" w:clear="all"/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администрации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 относит принятие решений о создании и об использовании, в том числе на платной основе, парковок (парковочных мест) (далее - парковка),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 xml:space="preserve">Харовского муниципального округа Вологодской области</w:t>
      </w:r>
      <w:r>
        <w:rPr>
          <w:sz w:val="28"/>
          <w:szCs w:val="28"/>
        </w:rPr>
        <w:t xml:space="preserve">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настоящем Положении используются следующие понятия: </w:t>
      </w:r>
      <w:r/>
    </w:p>
    <w:p>
      <w:pPr>
        <w:pStyle w:val="665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«парковка (парковочное место)</w:t>
      </w:r>
      <w:r>
        <w:rPr>
          <w:bCs/>
          <w:sz w:val="28"/>
          <w:szCs w:val="28"/>
        </w:rPr>
        <w:t xml:space="preserve">» - </w:t>
      </w:r>
      <w:r>
        <w:rPr>
          <w:sz w:val="28"/>
          <w:szCs w:val="28"/>
        </w:rPr>
        <w:t xml:space="preserve">специально обозначенное и при необходимости обустроенное и оборудованное место, являющееся в том числе частью автомобильной</w:t>
      </w:r>
      <w:r>
        <w:rPr>
          <w:sz w:val="28"/>
          <w:szCs w:val="28"/>
        </w:rPr>
        <w:t xml:space="preserve">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</w:t>
      </w:r>
      <w:r>
        <w:rPr>
          <w:sz w:val="28"/>
          <w:szCs w:val="28"/>
        </w:rPr>
        <w:t xml:space="preserve">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«уполномоченная организация» </w:t>
      </w:r>
      <w:r>
        <w:rPr>
          <w:bCs/>
          <w:sz w:val="28"/>
          <w:szCs w:val="28"/>
        </w:rPr>
        <w:t xml:space="preserve">- муниципальное учреждение, обеспечивающее функционирование и использование парковок (парковочных мест);</w:t>
      </w:r>
      <w:r>
        <w:rPr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«пользователи парковки» </w:t>
      </w:r>
      <w:r>
        <w:rPr>
          <w:bCs/>
          <w:sz w:val="28"/>
          <w:szCs w:val="28"/>
        </w:rPr>
        <w:t xml:space="preserve">- физические и юридические лица, использующие парковки (парковочные места) для размещения транспортных средств.</w:t>
      </w:r>
      <w:r>
        <w:rPr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«пункт оплаты»</w:t>
      </w:r>
      <w:r>
        <w:rPr>
          <w:sz w:val="28"/>
          <w:szCs w:val="28"/>
        </w:rPr>
        <w:t xml:space="preserve"> - пункт, позволяющий пользователю платной парковки осуществлять оплату стоимости пользования парковкой.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Положения так</w:t>
      </w:r>
      <w:r>
        <w:rPr>
          <w:sz w:val="28"/>
          <w:szCs w:val="28"/>
        </w:rPr>
        <w:t xml:space="preserve">же используются термины и понятия в том же значении, что и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Парковки создаются в целях улучшения работы в области обеспечения безопасности дорожного движения.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парк</w:t>
      </w:r>
      <w:r>
        <w:rPr>
          <w:sz w:val="28"/>
          <w:szCs w:val="28"/>
        </w:rPr>
        <w:t xml:space="preserve">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(обозначение) парковок на автомобильной дороге может производиться на участках, предусмотренных проектной документацией, а также участках, согласованных с </w:t>
      </w:r>
      <w:r>
        <w:rPr>
          <w:sz w:val="28"/>
          <w:szCs w:val="28"/>
        </w:rPr>
        <w:t xml:space="preserve">ОГИБДД МО МВД России "Харовский"</w:t>
      </w:r>
      <w:r>
        <w:rPr>
          <w:sz w:val="28"/>
          <w:szCs w:val="28"/>
        </w:rPr>
        <w:t xml:space="preserve">. Парковки на автомобильных дорогах обозначаются путем установки соответствующих дорожных знаков</w:t>
      </w:r>
      <w:r>
        <w:rPr>
          <w:sz w:val="28"/>
          <w:szCs w:val="28"/>
        </w:rPr>
        <w:t xml:space="preserve">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Парковки не предназначены для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 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парковки на территориях, непосредственно прилегающих к объектам спорта, зданиям, в которых размещены образов</w:t>
      </w:r>
      <w:r>
        <w:rPr>
          <w:sz w:val="28"/>
          <w:szCs w:val="28"/>
        </w:rPr>
        <w:t xml:space="preserve">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федеральные органы государственной власти, органы государственной власти и орган</w:t>
      </w:r>
      <w:r>
        <w:rPr>
          <w:sz w:val="28"/>
          <w:szCs w:val="28"/>
        </w:rPr>
        <w:t xml:space="preserve">ы местного самоуправления Вологодской области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домов, запрещены.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парковок должны обеспечиваться требования к беспрепятственному доступу инвалидов к парковке (парковочным местам), предусмотренные статьей 15 Федерального закона от 24.11.1995 № 181-ФЗ «О социальной защите инвалидов в Российской Федерации».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</w:t>
      </w:r>
      <w:r>
        <w:rPr>
          <w:sz w:val="28"/>
          <w:szCs w:val="28"/>
        </w:rPr>
        <w:t xml:space="preserve">Харовского муниципального округа.</w:t>
      </w:r>
      <w:r>
        <w:rPr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правовом акте администрации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 о создании парковки указываются: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расположения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вместимость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созданию парковки.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предлагается использовать создаваемую парковку на платной основе, в правовом акте администрации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 также указываются: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работы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уполномоченной организации.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правовом акте Администрации </w:t>
      </w:r>
      <w:r>
        <w:rPr>
          <w:sz w:val="28"/>
          <w:szCs w:val="28"/>
        </w:rPr>
        <w:t xml:space="preserve">Харовского муниципального округа </w:t>
      </w:r>
      <w:r>
        <w:rPr>
          <w:sz w:val="28"/>
          <w:szCs w:val="28"/>
        </w:rPr>
        <w:t xml:space="preserve">об использовании на платной основе ранее созданной парковки указываются:</w:t>
      </w:r>
      <w:r/>
    </w:p>
    <w:p>
      <w:pPr>
        <w:pStyle w:val="665"/>
        <w:ind w:right="-143" w:firstLine="567"/>
        <w:jc w:val="both"/>
      </w:pPr>
      <w:r>
        <w:rPr>
          <w:sz w:val="28"/>
          <w:szCs w:val="28"/>
        </w:rPr>
        <w:t xml:space="preserve">- место расположения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организации деятельности парковки на платной основе;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работы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уполномоченной организации.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Пользователь парковок имеет право получать информацию: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правилах пользования парковкой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размере платы за пользование на платной основе парковками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порядке и способах внесения соответствующего размера платы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наличии альтернативных бесплатных парковок.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Пользователи парковок обязаны: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настоящего Положения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пользовании платной парковкой оплатить стоимость, установленную за пользование парковочным местом, с учетом фактического времени пребывания (кратно 1 часу, 1 суткам);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сохранять документ об оплате за пользование платной парковой до момента выезда с парковочного места.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Пользователям парковок запрещается: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резервировать парковочные места;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транспортное средство с нарушением границ парковочных мест;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блокировать въезд (выезд) транспортных средств на парковку;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препятствия и ограничения другим пользователям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загрязнять территорию парковки.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t xml:space="preserve"> </w:t>
      </w:r>
      <w:r>
        <w:rPr>
          <w:sz w:val="28"/>
          <w:szCs w:val="28"/>
        </w:rPr>
        <w:t xml:space="preserve">Уполномоченная организация обязана: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соответствие транспортно-эксплуатационных характеристик парковки нормативным требованиям;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пользователю, в том числе по его письменному заявлению, сведения, относящиеся к предоставляемым услугам по пользованию пла</w:t>
      </w:r>
      <w:r>
        <w:rPr>
          <w:sz w:val="28"/>
          <w:szCs w:val="28"/>
        </w:rPr>
        <w:t xml:space="preserve">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наличие информации о местах приема письменных претензий пользователей;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уборку территории парковки;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безопасность функционирования парковки.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Пользование платной парковкой осуществляется на основании публичного договора межд</w:t>
      </w:r>
      <w:r>
        <w:rPr>
          <w:sz w:val="28"/>
          <w:szCs w:val="28"/>
        </w:rPr>
        <w:t xml:space="preserve">у пользователем и уполномоченной организацией, согласно которому уполномоченная организация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Пользователь заключает с уполномоченной организацией публичный, договор (далее - договор) путем оплаты пользователем стоянки транспортного средства на платной парковке.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, определение ее максимального размера устанавливаются постановлением администрации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Не допускается взимание с пользователей каких-либо иных платежей, кроме платы за пользование на платной основе парковками.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уполномоченной организ</w:t>
      </w:r>
      <w:r>
        <w:rPr>
          <w:sz w:val="28"/>
          <w:szCs w:val="28"/>
        </w:rPr>
        <w:t xml:space="preserve">ацией и оплату за пользование платной парковкой, используются талоны сроком действия несколько часов (кратно 1 часу), 1 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Уполномоченная организация обязана предоставить пользо</w:t>
      </w:r>
      <w:r>
        <w:rPr>
          <w:sz w:val="28"/>
          <w:szCs w:val="28"/>
        </w:rPr>
        <w:t xml:space="preserve">вателю полную и достоверную информацию об оказываемых услугах, обеспечивающую возможность выбора. Информация предоставляется на русском языке. Информация доводится до сведения пользователей в пункте оплаты и (или) местах въезда/выезда на платную парковку. 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должна содержать: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официальное наименование, адрес (место нахождения) и сведения о государственной регистрации уполномоченной организацией;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условия договора и порядок оплаты услуг, предоставляемых уполномоченной организацией, в том числе: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пользования парковкой;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платы за пользование на платной основе парковкой; порядок и способы внесения соответствующего размера платы; наличие альтернативных бесплатных парковок;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адрес и номер телефона подразделения уполномоченной организации, осуществляющего прием заявлений пользователей;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цепях контроля за исполнением договора и урегулирования возникающих споров уполномоченной организацией осуществляется регистрация фактов польз</w:t>
      </w:r>
      <w:r>
        <w:rPr>
          <w:sz w:val="28"/>
          <w:szCs w:val="28"/>
        </w:rPr>
        <w:t xml:space="preserve">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занесением, их в журнал регистрации.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 хранении и использовании уполномоченной организацией данных о пользователе, предусмотренных пунктом 17 настоящего Положения, необходимо исключить свободный доступ к этим данным третьих лиц.</w:t>
      </w:r>
      <w:r>
        <w:rPr>
          <w:sz w:val="28"/>
          <w:szCs w:val="28"/>
        </w:rPr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Эксплуатация парковок может быть приостановлена или прекращена в случаях: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производства работ по ремонту (реконструкции) проезжей части улично-дорожной сети;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схемы организации дорожного движения;</w:t>
      </w:r>
      <w:r/>
    </w:p>
    <w:p>
      <w:pPr>
        <w:pStyle w:val="665"/>
        <w:ind w:right="-143" w:firstLine="56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прекращения земельно-правовых отношений или нарушения уполномоченными организациями порядка эксплуатации платных или служебных парковок;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специальных мероприятий местного значения (праздничные манифестации, соревнования и др). В данном случае в распоряжении о проведении мероприятий должно быть указано, когда и на какое время эксплуатация парковки будет приостановлена.</w:t>
      </w:r>
      <w:r/>
    </w:p>
    <w:p>
      <w:pPr>
        <w:pStyle w:val="665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приостановлении или прекращении использования парковки принимается постановлением администрации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муниципального округа по обращению уполномоченной организации или по согласованию с ней. При отсутствии такого согласования приостановление или прекращение использования парковки осуществляется в судебном порядке.</w:t>
      </w: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</w:pPr>
      <w:r/>
      <w:r/>
    </w:p>
    <w:p>
      <w:pPr>
        <w:pStyle w:val="665"/>
        <w:jc w:val="right"/>
      </w:pPr>
      <w:r/>
      <w:r/>
    </w:p>
    <w:p>
      <w:pPr>
        <w:pStyle w:val="665"/>
        <w:jc w:val="right"/>
      </w:pPr>
      <w:r/>
      <w:r/>
    </w:p>
    <w:p>
      <w:pPr>
        <w:pStyle w:val="665"/>
        <w:jc w:val="right"/>
      </w:pPr>
      <w:r/>
      <w:r/>
    </w:p>
    <w:p>
      <w:pPr>
        <w:pStyle w:val="665"/>
        <w:jc w:val="right"/>
      </w:pPr>
      <w:r/>
      <w:r/>
    </w:p>
    <w:p>
      <w:pPr>
        <w:pStyle w:val="665"/>
        <w:jc w:val="right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jc w:val="center"/>
    </w:pPr>
    <w:r/>
    <w:r/>
  </w:p>
  <w:p>
    <w:pPr>
      <w:pStyle w:val="6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65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65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65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65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65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65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65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65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65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  <w:rPr>
        <w:rFonts w:ascii="Times New Roman" w:hAnsi="Times New Roman" w:eastAsia="Calibri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5"/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739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5"/>
      </w:p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5"/>
      </w:p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66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509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5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5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5"/>
      </w:p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5"/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5"/>
      </w:p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65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5"/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785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10352" w:hanging="180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665"/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pStyle w:val="665"/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5"/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5"/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5"/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5"/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5"/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5"/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5"/>
        <w:ind w:left="7472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7472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5"/>
        <w:ind w:left="720" w:hanging="360"/>
      </w:pPr>
      <w:rPr>
        <w:rFonts w:ascii="Calibri" w:hAnsi="Calibri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16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520" w:hanging="5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7832" w:hanging="216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509" w:hanging="180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5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65"/>
      </w:pPr>
    </w:lvl>
    <w:lvl w:ilvl="2">
      <w:start w:val="0"/>
      <w:numFmt w:val="decimal"/>
      <w:isLgl w:val="false"/>
      <w:suff w:val="tab"/>
      <w:lvlText w:val=""/>
      <w:lvlJc w:val="left"/>
      <w:pPr>
        <w:pStyle w:val="665"/>
      </w:pPr>
    </w:lvl>
    <w:lvl w:ilvl="3">
      <w:start w:val="0"/>
      <w:numFmt w:val="decimal"/>
      <w:isLgl w:val="false"/>
      <w:suff w:val="tab"/>
      <w:lvlText w:val=""/>
      <w:lvlJc w:val="left"/>
      <w:pPr>
        <w:pStyle w:val="665"/>
      </w:pPr>
    </w:lvl>
    <w:lvl w:ilvl="4">
      <w:start w:val="0"/>
      <w:numFmt w:val="decimal"/>
      <w:isLgl w:val="false"/>
      <w:suff w:val="tab"/>
      <w:lvlText w:val=""/>
      <w:lvlJc w:val="left"/>
      <w:pPr>
        <w:pStyle w:val="665"/>
      </w:pPr>
    </w:lvl>
    <w:lvl w:ilvl="5">
      <w:start w:val="0"/>
      <w:numFmt w:val="decimal"/>
      <w:isLgl w:val="false"/>
      <w:suff w:val="tab"/>
      <w:lvlText w:val=""/>
      <w:lvlJc w:val="left"/>
      <w:pPr>
        <w:pStyle w:val="665"/>
      </w:pPr>
    </w:lvl>
    <w:lvl w:ilvl="6">
      <w:start w:val="0"/>
      <w:numFmt w:val="decimal"/>
      <w:isLgl w:val="false"/>
      <w:suff w:val="tab"/>
      <w:lvlText w:val=""/>
      <w:lvlJc w:val="left"/>
      <w:pPr>
        <w:pStyle w:val="665"/>
      </w:pPr>
    </w:lvl>
    <w:lvl w:ilvl="7">
      <w:start w:val="0"/>
      <w:numFmt w:val="decimal"/>
      <w:isLgl w:val="false"/>
      <w:suff w:val="tab"/>
      <w:lvlText w:val=""/>
      <w:lvlJc w:val="left"/>
      <w:pPr>
        <w:pStyle w:val="665"/>
      </w:pPr>
    </w:lvl>
    <w:lvl w:ilvl="8">
      <w:start w:val="0"/>
      <w:numFmt w:val="decimal"/>
      <w:isLgl w:val="false"/>
      <w:suff w:val="tab"/>
      <w:lvlText w:val=""/>
      <w:lvlJc w:val="left"/>
      <w:pPr>
        <w:pStyle w:val="665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24"/>
  </w:num>
  <w:num w:numId="15">
    <w:abstractNumId w:val="14"/>
  </w:num>
  <w:num w:numId="16">
    <w:abstractNumId w:val="6"/>
  </w:num>
  <w:num w:numId="17">
    <w:abstractNumId w:val="9"/>
  </w:num>
  <w:num w:numId="18">
    <w:abstractNumId w:val="23"/>
  </w:num>
  <w:num w:numId="19">
    <w:abstractNumId w:val="18"/>
  </w:num>
  <w:num w:numId="20">
    <w:abstractNumId w:val="16"/>
  </w:num>
  <w:num w:numId="21">
    <w:abstractNumId w:val="20"/>
  </w:num>
  <w:num w:numId="22">
    <w:abstractNumId w:val="17"/>
  </w:num>
  <w:num w:numId="23">
    <w:abstractNumId w:val="10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qFormat/>
    <w:rPr>
      <w:sz w:val="24"/>
      <w:lang w:val="ru-RU" w:eastAsia="ru-RU" w:bidi="ar-SA"/>
    </w:rPr>
  </w:style>
  <w:style w:type="paragraph" w:styleId="666">
    <w:name w:val="Заголовок 1"/>
    <w:basedOn w:val="665"/>
    <w:next w:val="665"/>
    <w:link w:val="694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26282f"/>
      <w:sz w:val="26"/>
      <w:szCs w:val="26"/>
      <w:lang w:val="en-US" w:eastAsia="en-US"/>
    </w:rPr>
  </w:style>
  <w:style w:type="paragraph" w:styleId="667">
    <w:name w:val="Заголовок 2"/>
    <w:basedOn w:val="665"/>
    <w:next w:val="665"/>
    <w:link w:val="695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668">
    <w:name w:val="Основной шрифт абзаца"/>
    <w:next w:val="668"/>
    <w:link w:val="665"/>
    <w:semiHidden/>
  </w:style>
  <w:style w:type="table" w:styleId="669">
    <w:name w:val="Обычная таблица"/>
    <w:next w:val="669"/>
    <w:link w:val="665"/>
    <w:semiHidden/>
    <w:tblPr/>
  </w:style>
  <w:style w:type="numbering" w:styleId="670">
    <w:name w:val="Нет списка"/>
    <w:next w:val="670"/>
    <w:link w:val="665"/>
    <w:semiHidden/>
  </w:style>
  <w:style w:type="paragraph" w:styleId="671">
    <w:name w:val="Основной текст 2"/>
    <w:basedOn w:val="665"/>
    <w:next w:val="671"/>
    <w:link w:val="665"/>
    <w:pPr>
      <w:spacing w:after="120" w:line="480" w:lineRule="auto"/>
    </w:pPr>
  </w:style>
  <w:style w:type="character" w:styleId="672">
    <w:name w:val="Гиперссылка"/>
    <w:next w:val="672"/>
    <w:link w:val="665"/>
    <w:rPr>
      <w:color w:val="0000ff"/>
      <w:u w:val="single"/>
    </w:rPr>
  </w:style>
  <w:style w:type="paragraph" w:styleId="673">
    <w:name w:val="Текст выноски"/>
    <w:basedOn w:val="665"/>
    <w:next w:val="673"/>
    <w:link w:val="674"/>
    <w:rPr>
      <w:rFonts w:ascii="Segoe UI" w:hAnsi="Segoe UI"/>
      <w:sz w:val="18"/>
      <w:szCs w:val="18"/>
      <w:lang w:val="en-US" w:eastAsia="en-US"/>
    </w:rPr>
  </w:style>
  <w:style w:type="character" w:styleId="674">
    <w:name w:val="Текст выноски Знак"/>
    <w:next w:val="674"/>
    <w:link w:val="673"/>
    <w:rPr>
      <w:rFonts w:ascii="Segoe UI" w:hAnsi="Segoe UI" w:cs="Segoe UI"/>
      <w:sz w:val="18"/>
      <w:szCs w:val="18"/>
    </w:rPr>
  </w:style>
  <w:style w:type="paragraph" w:styleId="675">
    <w:name w:val="western"/>
    <w:basedOn w:val="665"/>
    <w:next w:val="675"/>
    <w:link w:val="665"/>
    <w:pPr>
      <w:spacing w:before="100" w:beforeAutospacing="1" w:after="100" w:afterAutospacing="1"/>
    </w:pPr>
    <w:rPr>
      <w:rFonts w:eastAsia="Calibri"/>
      <w:szCs w:val="24"/>
    </w:rPr>
  </w:style>
  <w:style w:type="paragraph" w:styleId="676">
    <w:name w:val="Текст сноски"/>
    <w:basedOn w:val="665"/>
    <w:next w:val="676"/>
    <w:link w:val="677"/>
    <w:uiPriority w:val="99"/>
    <w:rPr>
      <w:sz w:val="20"/>
      <w:lang w:val="en-US" w:eastAsia="en-US"/>
    </w:rPr>
  </w:style>
  <w:style w:type="character" w:styleId="677">
    <w:name w:val="Текст сноски Знак"/>
    <w:next w:val="677"/>
    <w:link w:val="676"/>
    <w:uiPriority w:val="99"/>
    <w:rPr>
      <w:lang w:val="en-US" w:eastAsia="en-US"/>
    </w:rPr>
  </w:style>
  <w:style w:type="character" w:styleId="678">
    <w:name w:val="Знак сноски"/>
    <w:next w:val="678"/>
    <w:link w:val="665"/>
    <w:uiPriority w:val="99"/>
    <w:rPr>
      <w:rFonts w:cs="Times New Roman"/>
      <w:vertAlign w:val="superscript"/>
    </w:rPr>
  </w:style>
  <w:style w:type="paragraph" w:styleId="679">
    <w:name w:val="Верхний колонтитул"/>
    <w:basedOn w:val="665"/>
    <w:next w:val="679"/>
    <w:link w:val="680"/>
    <w:uiPriority w:val="99"/>
    <w:pPr>
      <w:tabs>
        <w:tab w:val="center" w:pos="4677" w:leader="none"/>
        <w:tab w:val="right" w:pos="9355" w:leader="none"/>
      </w:tabs>
    </w:pPr>
    <w:rPr>
      <w:szCs w:val="24"/>
      <w:lang w:val="en-US" w:eastAsia="en-US"/>
    </w:rPr>
  </w:style>
  <w:style w:type="character" w:styleId="680">
    <w:name w:val="Верхний колонтитул Знак"/>
    <w:next w:val="680"/>
    <w:link w:val="679"/>
    <w:uiPriority w:val="99"/>
    <w:rPr>
      <w:sz w:val="24"/>
      <w:szCs w:val="24"/>
      <w:lang w:val="en-US" w:eastAsia="en-US"/>
    </w:rPr>
  </w:style>
  <w:style w:type="character" w:styleId="681">
    <w:name w:val="Основной текст_"/>
    <w:next w:val="681"/>
    <w:link w:val="682"/>
    <w:rPr>
      <w:sz w:val="28"/>
      <w:szCs w:val="28"/>
    </w:rPr>
  </w:style>
  <w:style w:type="paragraph" w:styleId="682">
    <w:name w:val="Основной текст1"/>
    <w:basedOn w:val="665"/>
    <w:next w:val="682"/>
    <w:link w:val="681"/>
    <w:pPr>
      <w:ind w:firstLine="400"/>
      <w:widowControl w:val="off"/>
    </w:pPr>
    <w:rPr>
      <w:sz w:val="28"/>
      <w:szCs w:val="28"/>
    </w:rPr>
  </w:style>
  <w:style w:type="paragraph" w:styleId="683">
    <w:name w:val="Основной текст с отступом"/>
    <w:basedOn w:val="665"/>
    <w:next w:val="683"/>
    <w:link w:val="684"/>
    <w:pPr>
      <w:ind w:left="283"/>
      <w:spacing w:after="120"/>
    </w:pPr>
  </w:style>
  <w:style w:type="character" w:styleId="684">
    <w:name w:val="Основной текст с отступом Знак"/>
    <w:next w:val="684"/>
    <w:link w:val="683"/>
    <w:rPr>
      <w:sz w:val="24"/>
    </w:rPr>
  </w:style>
  <w:style w:type="paragraph" w:styleId="685">
    <w:name w:val="Обычный (веб)"/>
    <w:basedOn w:val="665"/>
    <w:next w:val="685"/>
    <w:link w:val="665"/>
    <w:uiPriority w:val="99"/>
    <w:unhideWhenUsed/>
    <w:pPr>
      <w:spacing w:before="100" w:beforeAutospacing="1" w:after="100" w:afterAutospacing="1"/>
    </w:pPr>
    <w:rPr>
      <w:szCs w:val="24"/>
    </w:rPr>
  </w:style>
  <w:style w:type="character" w:styleId="686">
    <w:name w:val="apple-converted-space"/>
    <w:next w:val="686"/>
    <w:link w:val="665"/>
  </w:style>
  <w:style w:type="paragraph" w:styleId="687">
    <w:name w:val="consplusnormal"/>
    <w:basedOn w:val="665"/>
    <w:next w:val="687"/>
    <w:link w:val="665"/>
    <w:pPr>
      <w:spacing w:before="100" w:beforeAutospacing="1" w:after="100" w:afterAutospacing="1"/>
    </w:pPr>
    <w:rPr>
      <w:szCs w:val="24"/>
    </w:rPr>
  </w:style>
  <w:style w:type="paragraph" w:styleId="688">
    <w:name w:val="Абзац списка"/>
    <w:basedOn w:val="665"/>
    <w:next w:val="688"/>
    <w:link w:val="66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689">
    <w:name w:val="Гиперссылка1"/>
    <w:next w:val="689"/>
    <w:link w:val="665"/>
  </w:style>
  <w:style w:type="paragraph" w:styleId="690">
    <w:name w:val="listparagraph0"/>
    <w:basedOn w:val="665"/>
    <w:next w:val="690"/>
    <w:link w:val="665"/>
    <w:pPr>
      <w:spacing w:before="100" w:beforeAutospacing="1" w:after="100" w:afterAutospacing="1"/>
    </w:pPr>
    <w:rPr>
      <w:szCs w:val="24"/>
    </w:rPr>
  </w:style>
  <w:style w:type="paragraph" w:styleId="691">
    <w:name w:val="ConsPlusNormal"/>
    <w:next w:val="691"/>
    <w:link w:val="69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92">
    <w:name w:val="ConsPlusNormal Знак"/>
    <w:next w:val="692"/>
    <w:link w:val="691"/>
    <w:rPr>
      <w:rFonts w:ascii="Arial" w:hAnsi="Arial" w:cs="Arial"/>
    </w:rPr>
  </w:style>
  <w:style w:type="character" w:styleId="693">
    <w:name w:val="Hyperlink"/>
    <w:next w:val="693"/>
    <w:link w:val="665"/>
  </w:style>
  <w:style w:type="character" w:styleId="694">
    <w:name w:val="Заголовок 1 Знак"/>
    <w:next w:val="694"/>
    <w:link w:val="666"/>
    <w:uiPriority w:val="99"/>
    <w:rPr>
      <w:rFonts w:ascii="Arial" w:hAnsi="Arial"/>
      <w:b/>
      <w:bCs/>
      <w:color w:val="26282f"/>
      <w:sz w:val="26"/>
      <w:szCs w:val="26"/>
      <w:lang w:val="en-US" w:eastAsia="en-US"/>
    </w:rPr>
  </w:style>
  <w:style w:type="character" w:styleId="695">
    <w:name w:val="Заголовок 2 Знак"/>
    <w:next w:val="695"/>
    <w:link w:val="667"/>
    <w:semiHidden/>
    <w:rPr>
      <w:rFonts w:ascii="Calibri Light" w:hAnsi="Calibri Light"/>
      <w:b/>
      <w:bCs/>
      <w:i/>
      <w:iCs/>
      <w:sz w:val="28"/>
      <w:szCs w:val="28"/>
    </w:rPr>
  </w:style>
  <w:style w:type="paragraph" w:styleId="696">
    <w:name w:val="ConsPlusNonformat"/>
    <w:next w:val="696"/>
    <w:link w:val="66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7">
    <w:name w:val="ConsPlusTitle"/>
    <w:next w:val="697"/>
    <w:link w:val="69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98">
    <w:name w:val="ConsPlusTitle Знак"/>
    <w:next w:val="698"/>
    <w:link w:val="697"/>
    <w:rPr>
      <w:rFonts w:ascii="Arial" w:hAnsi="Arial" w:cs="Arial"/>
      <w:b/>
      <w:bCs/>
    </w:rPr>
  </w:style>
  <w:style w:type="character" w:styleId="699">
    <w:name w:val="Основной текст (2)_"/>
    <w:next w:val="699"/>
    <w:link w:val="700"/>
  </w:style>
  <w:style w:type="paragraph" w:styleId="700">
    <w:name w:val="Основной текст (2)"/>
    <w:basedOn w:val="665"/>
    <w:next w:val="700"/>
    <w:link w:val="699"/>
    <w:pPr>
      <w:ind w:left="6200"/>
      <w:spacing w:after="520"/>
      <w:widowControl w:val="off"/>
    </w:pPr>
    <w:rPr>
      <w:sz w:val="20"/>
    </w:rPr>
  </w:style>
  <w:style w:type="character" w:styleId="701">
    <w:name w:val="Другое_"/>
    <w:next w:val="701"/>
    <w:link w:val="702"/>
    <w:rPr>
      <w:sz w:val="28"/>
      <w:szCs w:val="28"/>
    </w:rPr>
  </w:style>
  <w:style w:type="paragraph" w:styleId="702">
    <w:name w:val="Другое"/>
    <w:basedOn w:val="665"/>
    <w:next w:val="702"/>
    <w:link w:val="701"/>
    <w:pPr>
      <w:ind w:firstLine="400"/>
      <w:widowControl w:val="off"/>
    </w:pPr>
    <w:rPr>
      <w:sz w:val="28"/>
      <w:szCs w:val="28"/>
    </w:rPr>
  </w:style>
  <w:style w:type="character" w:styleId="1264" w:default="1">
    <w:name w:val="Default Paragraph Font"/>
    <w:uiPriority w:val="1"/>
    <w:semiHidden/>
    <w:unhideWhenUsed/>
  </w:style>
  <w:style w:type="numbering" w:styleId="1265" w:default="1">
    <w:name w:val="No List"/>
    <w:uiPriority w:val="99"/>
    <w:semiHidden/>
    <w:unhideWhenUsed/>
  </w:style>
  <w:style w:type="table" w:styleId="12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1</dc:creator>
  <cp:revision>27</cp:revision>
  <dcterms:created xsi:type="dcterms:W3CDTF">2023-07-07T07:15:00Z</dcterms:created>
  <dcterms:modified xsi:type="dcterms:W3CDTF">2023-07-19T08:57:03Z</dcterms:modified>
  <cp:version>917504</cp:version>
</cp:coreProperties>
</file>