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64" w:rsidRDefault="005E6C6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E6C64" w:rsidRDefault="005E6C64">
      <w:pPr>
        <w:pStyle w:val="ConsPlusNormal"/>
        <w:jc w:val="both"/>
        <w:outlineLvl w:val="0"/>
      </w:pPr>
    </w:p>
    <w:p w:rsidR="005E6C64" w:rsidRDefault="005E6C64">
      <w:pPr>
        <w:pStyle w:val="ConsPlusTitle"/>
        <w:jc w:val="center"/>
        <w:outlineLvl w:val="0"/>
      </w:pPr>
      <w:r>
        <w:t>ПРАВИТЕЛЬСТВО ВОЛОГОДСКОЙ ОБЛАСТИ</w:t>
      </w:r>
    </w:p>
    <w:p w:rsidR="005E6C64" w:rsidRDefault="005E6C64">
      <w:pPr>
        <w:pStyle w:val="ConsPlusTitle"/>
        <w:jc w:val="both"/>
      </w:pPr>
    </w:p>
    <w:p w:rsidR="005E6C64" w:rsidRDefault="005E6C64">
      <w:pPr>
        <w:pStyle w:val="ConsPlusTitle"/>
        <w:jc w:val="center"/>
      </w:pPr>
      <w:r>
        <w:t>ПОСТАНОВЛЕНИЕ</w:t>
      </w:r>
    </w:p>
    <w:p w:rsidR="005E6C64" w:rsidRDefault="005E6C64">
      <w:pPr>
        <w:pStyle w:val="ConsPlusTitle"/>
        <w:jc w:val="center"/>
      </w:pPr>
      <w:r>
        <w:t>от 28 декабря 2018 г. N 1201</w:t>
      </w:r>
    </w:p>
    <w:p w:rsidR="005E6C64" w:rsidRDefault="005E6C64">
      <w:pPr>
        <w:pStyle w:val="ConsPlusTitle"/>
        <w:jc w:val="both"/>
      </w:pPr>
    </w:p>
    <w:p w:rsidR="005E6C64" w:rsidRDefault="005E6C64">
      <w:pPr>
        <w:pStyle w:val="ConsPlusTitle"/>
        <w:jc w:val="center"/>
      </w:pPr>
      <w:r>
        <w:t>ОБ УТВЕРЖДЕНИИ ПЕРЕЧНЯ ДОКУМЕНТОВ НА ПОЛУЧЕНИЕ</w:t>
      </w:r>
    </w:p>
    <w:p w:rsidR="005E6C64" w:rsidRDefault="005E6C64">
      <w:pPr>
        <w:pStyle w:val="ConsPlusTitle"/>
        <w:jc w:val="center"/>
      </w:pPr>
      <w:r>
        <w:t>ЕДИНОВРЕМЕННОЙ ДЕНЕЖНОЙ ВЫПЛАТЫ ВЗАМЕН ЗЕМЕЛЬНОГО УЧАСТКА</w:t>
      </w:r>
    </w:p>
    <w:p w:rsidR="005E6C64" w:rsidRDefault="005E6C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5E6C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C64" w:rsidRDefault="005E6C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C64" w:rsidRDefault="005E6C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Вологодской области</w:t>
            </w:r>
            <w:proofErr w:type="gramEnd"/>
          </w:p>
          <w:p w:rsidR="005E6C64" w:rsidRDefault="005E6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18.03.2019 </w:t>
            </w:r>
            <w:hyperlink r:id="rId6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27.12.2019 </w:t>
            </w:r>
            <w:hyperlink r:id="rId7">
              <w:r>
                <w:rPr>
                  <w:color w:val="0000FF"/>
                </w:rPr>
                <w:t>N 1312</w:t>
              </w:r>
            </w:hyperlink>
            <w:r>
              <w:rPr>
                <w:color w:val="392C69"/>
              </w:rPr>
              <w:t xml:space="preserve">, от 21.06.2021 </w:t>
            </w:r>
            <w:hyperlink r:id="rId8">
              <w:r>
                <w:rPr>
                  <w:color w:val="0000FF"/>
                </w:rPr>
                <w:t>N 653</w:t>
              </w:r>
            </w:hyperlink>
            <w:r>
              <w:rPr>
                <w:color w:val="392C69"/>
              </w:rPr>
              <w:t>,</w:t>
            </w:r>
          </w:p>
          <w:p w:rsidR="005E6C64" w:rsidRDefault="005E6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11.07.2022 </w:t>
            </w:r>
            <w:hyperlink r:id="rId9">
              <w:r>
                <w:rPr>
                  <w:color w:val="0000FF"/>
                </w:rPr>
                <w:t>N 896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</w:tr>
    </w:tbl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ind w:firstLine="540"/>
        <w:jc w:val="both"/>
      </w:pPr>
      <w:r>
        <w:t xml:space="preserve">В целях реализации </w:t>
      </w:r>
      <w:hyperlink r:id="rId10">
        <w:r>
          <w:rPr>
            <w:color w:val="0000FF"/>
          </w:rPr>
          <w:t>закона</w:t>
        </w:r>
      </w:hyperlink>
      <w:r>
        <w:t xml:space="preserve">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Правительство области постановляет:</w:t>
      </w:r>
    </w:p>
    <w:p w:rsidR="005E6C64" w:rsidRDefault="005E6C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5E6C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C64" w:rsidRDefault="005E6C6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E6C64" w:rsidRDefault="005E6C64">
            <w:pPr>
              <w:pStyle w:val="ConsPlusNormal"/>
              <w:jc w:val="both"/>
            </w:pPr>
            <w:r>
              <w:rPr>
                <w:color w:val="392C69"/>
              </w:rPr>
              <w:t>В соответствии с изменениями, внесенными постановлением Правительства Вологодской области от 11.07.2022 N 896, Перечень документов на получение единовременной денежной выплаты взамен земельного участка имеет точное название "Перечень документов на предоставление единовременной денежной выплаты взамен земельного участка".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</w:tr>
    </w:tbl>
    <w:p w:rsidR="005E6C64" w:rsidRDefault="005E6C64">
      <w:pPr>
        <w:pStyle w:val="ConsPlusNormal"/>
        <w:spacing w:before="28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Перечень</w:t>
        </w:r>
      </w:hyperlink>
      <w:r>
        <w:t xml:space="preserve"> документов на получение единовременной денежной выплаты взамен земельного участка.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2019 года.</w:t>
      </w: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jc w:val="right"/>
      </w:pPr>
      <w:r>
        <w:t>Губернатор области</w:t>
      </w:r>
    </w:p>
    <w:p w:rsidR="005E6C64" w:rsidRDefault="005E6C64">
      <w:pPr>
        <w:pStyle w:val="ConsPlusNormal"/>
        <w:jc w:val="right"/>
      </w:pPr>
      <w:r>
        <w:t>О.А.КУВШИННИКОВ</w:t>
      </w: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jc w:val="right"/>
        <w:outlineLvl w:val="0"/>
      </w:pPr>
      <w:r>
        <w:t>Приложение</w:t>
      </w:r>
    </w:p>
    <w:p w:rsidR="005E6C64" w:rsidRDefault="005E6C64">
      <w:pPr>
        <w:pStyle w:val="ConsPlusNormal"/>
        <w:jc w:val="right"/>
      </w:pPr>
      <w:r>
        <w:t>к Постановлению</w:t>
      </w:r>
    </w:p>
    <w:p w:rsidR="005E6C64" w:rsidRDefault="005E6C64">
      <w:pPr>
        <w:pStyle w:val="ConsPlusNormal"/>
        <w:jc w:val="right"/>
      </w:pPr>
      <w:r>
        <w:t>Правительства области</w:t>
      </w:r>
    </w:p>
    <w:p w:rsidR="005E6C64" w:rsidRDefault="005E6C64">
      <w:pPr>
        <w:pStyle w:val="ConsPlusNormal"/>
        <w:jc w:val="right"/>
      </w:pPr>
      <w:r>
        <w:t>от 28 декабря 2018 г. N 1201</w:t>
      </w: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Title"/>
        <w:jc w:val="center"/>
      </w:pPr>
      <w:bookmarkStart w:id="0" w:name="P31"/>
      <w:bookmarkEnd w:id="0"/>
      <w:r>
        <w:t>ПЕРЕЧЕНЬ</w:t>
      </w:r>
    </w:p>
    <w:p w:rsidR="005E6C64" w:rsidRDefault="005E6C64">
      <w:pPr>
        <w:pStyle w:val="ConsPlusTitle"/>
        <w:jc w:val="center"/>
      </w:pPr>
      <w:r>
        <w:t xml:space="preserve">ДОКУМЕНТОВ НА ПРЕДОСТАВЛЕНИЕ </w:t>
      </w:r>
      <w:proofErr w:type="gramStart"/>
      <w:r>
        <w:t>ЕДИНОВРЕМЕННОЙ</w:t>
      </w:r>
      <w:proofErr w:type="gramEnd"/>
    </w:p>
    <w:p w:rsidR="005E6C64" w:rsidRDefault="005E6C64">
      <w:pPr>
        <w:pStyle w:val="ConsPlusTitle"/>
        <w:jc w:val="center"/>
      </w:pPr>
      <w:r>
        <w:t>ДЕНЕЖНОЙ ВЫПЛАТЫ ВЗАМЕН ЗЕМЕЛЬНОГО УЧАСТКА</w:t>
      </w:r>
    </w:p>
    <w:p w:rsidR="005E6C64" w:rsidRDefault="005E6C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1"/>
        <w:gridCol w:w="113"/>
      </w:tblGrid>
      <w:tr w:rsidR="005E6C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6C64" w:rsidRDefault="005E6C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6C64" w:rsidRDefault="005E6C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Вологодской области</w:t>
            </w:r>
            <w:proofErr w:type="gramEnd"/>
          </w:p>
          <w:p w:rsidR="005E6C64" w:rsidRDefault="005E6C64">
            <w:pPr>
              <w:pStyle w:val="ConsPlusNormal"/>
              <w:jc w:val="center"/>
            </w:pPr>
            <w:r>
              <w:rPr>
                <w:color w:val="392C69"/>
              </w:rPr>
              <w:t>от 11.07.2022 N 896)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6C64" w:rsidRDefault="005E6C64">
            <w:pPr>
              <w:pStyle w:val="ConsPlusNormal"/>
            </w:pPr>
          </w:p>
        </w:tc>
      </w:tr>
    </w:tbl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ind w:firstLine="540"/>
        <w:jc w:val="both"/>
      </w:pPr>
      <w:r>
        <w:t xml:space="preserve">Единовременная денежная выплата (далее - выплата) предоставляется гражданину, имеющему трех и более детей, состоящему на учете в качестве лица, имеющего право на предоставление </w:t>
      </w:r>
      <w:r>
        <w:lastRenderedPageBreak/>
        <w:t>земельных участков в собственность бесплатно.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Выплата предоставляется гражданину, имеющему трех и более детей, состоящему на учете в качестве лица, имеющего право на предоставление земельных участков в собственность бесплатно для индивидуального жилищного строительства, на цели, указанные в </w:t>
      </w:r>
      <w:hyperlink r:id="rId12">
        <w:r>
          <w:rPr>
            <w:color w:val="0000FF"/>
          </w:rPr>
          <w:t>части 1 статьи 12(1)</w:t>
        </w:r>
      </w:hyperlink>
      <w:r>
        <w:t xml:space="preserve"> закона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</w:t>
      </w:r>
      <w:proofErr w:type="gramEnd"/>
      <w:r>
        <w:t xml:space="preserve"> собственности, на территории Вологодской области" (далее - закон области).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1.1. В случае направления выплаты на приобретение по договору купли-продажи жилого помещения и (или) земельного участка, вид разрешенного использования которого допускает строительство индивидуального жилого дома, за исключением земельных участков, находящихся в государственной или муниципальной собственности, к заявлению о предоставлении единовременной денежной выплаты взамен земельного участка прилагаются следующие документы: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13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14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15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16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" w:name="P47"/>
      <w:bookmarkEnd w:id="1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" w:name="P48"/>
      <w:bookmarkEnd w:id="2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" w:name="P49"/>
      <w:bookmarkEnd w:id="3"/>
      <w:r>
        <w:t>- копия договора купли-продажи жилого помещения и (или) копия договора купли продажи земельного участка (с рассрочкой платежа), на основании которого в установленном порядке осуществлена государственная регистрация права;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банковского счета организации или физического лица, осуществляющего отчуждение приобретаемого жилого помещения и (или) земельного участка.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В случае направления выплаты на оплату цены договора строительного подряда на строительство индивидуального жилого дома к заявлению о предоставлении</w:t>
      </w:r>
      <w:proofErr w:type="gramEnd"/>
      <w:r>
        <w:t xml:space="preserve"> единовременной денежной выплаты взамен земельного участка прилагаются следующие документы: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17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18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19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lastRenderedPageBreak/>
        <w:t xml:space="preserve">родителя, указанного в </w:t>
      </w:r>
      <w:hyperlink r:id="rId20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4" w:name="P58"/>
      <w:bookmarkEnd w:id="4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5" w:name="P59"/>
      <w:bookmarkEnd w:id="5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6" w:name="P60"/>
      <w:bookmarkEnd w:id="6"/>
      <w: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участок, вид разрешенного использования которого допускает строительство индивидуального жилого дома;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строительного подряда, предусматривающего информацию об общей площади индивидуального жилого дома, планируемого к строительству, и расчет стоимости производимых работ по строительству индивидуального жилого дома;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7" w:name="P62"/>
      <w:bookmarkEnd w:id="7"/>
      <w:r>
        <w:t>- градостроительный план земельного участка;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банковского счета организации или физического лица, с которым заключен договор строительного подряда на строительство индивидуального жилого дома.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1.3. В случае направления выплаты на оплату первоначального взноса при получении жилищного кредита, в том числе ипотечного, на приобретение жилого помещения или индивидуального жилого дома (жилого дома), а также на строительство индивидуального жилого дома (жилого дома) к заявлению о предоставлении единовременной денежной выплаты взамен земельного участка прилагаются следующие документы: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21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22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23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24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8" w:name="P71"/>
      <w:bookmarkEnd w:id="8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9" w:name="P72"/>
      <w:bookmarkEnd w:id="9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банковского счета;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кредитного договора (договора займа);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>- в случае приобретения жилого помещения или индивидуального жилого дома (жилого дома) - копия договора купли-продажи жилого помещения или индивидуального жилого дома (жилого дома), на основании которого в установленном порядке осуществлена государственная регистрация права;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lastRenderedPageBreak/>
        <w:t>- в случае строительства индивидуального жилого дома - копия договора строительного подряда;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кредитора (заимодавца) для перечисления денежных средств.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1.4. </w:t>
      </w:r>
      <w:proofErr w:type="gramStart"/>
      <w:r>
        <w:t>В случае направления выплаты на погашение основной суммы долга и уплаты процентов по жилищным кредитам (займам), в том числе ипотечным, на приобретение или строительство индивидуального жилого помещения или строительство индивидуального жилого дома, приобретение земельного участка, расположенного в границах населенного пункта, вид разрешенного использования которого допускает строительство индивидуального жилого дома (жилого дома), за исключением штрафов, комиссий и пеней за просрочку исполнения</w:t>
      </w:r>
      <w:proofErr w:type="gramEnd"/>
      <w:r>
        <w:t xml:space="preserve"> обязательств по указанным кредитам (займам), к заявлению о предоставлении единовременной денежной выплаты взамен земельного участка прилагаются следующие документы: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25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26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27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28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1" w:name="P85"/>
      <w:bookmarkEnd w:id="11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2" w:name="P86"/>
      <w:bookmarkEnd w:id="12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кредитного договора (договора займа);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справка кредитора (заимодавца) о сумме остатка основного долга и сумме задолженности по выплате процентов за пользование ипотечным жилищным кредитом;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кредитора (заимодавца) для перечисления денежных средств.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1.5. В случае направления выплаты на оплату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 к заявлению о предоставлении единовременной денежной выплаты взамен земельного участка прилагаются следующие документы: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29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0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1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2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</w:t>
      </w:r>
      <w:r>
        <w:lastRenderedPageBreak/>
        <w:t>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3" w:name="P97"/>
      <w:bookmarkEnd w:id="13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4" w:name="P98"/>
      <w:bookmarkEnd w:id="14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банковского счета;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участия в долевом строительстве, прошедшего государственную регистрацию в установленном порядке;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копии документов, подтверждающих произведенные расходы (квитанции к приходным ордерам, банковские выписки о перечислении денежных средств со счета покупателя на счет продавца);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счета эскроу для перечисления денежных средств.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>В случае направления выплаты на оплату цены договора строительного подряда на реконструкцию индивидуального жилого дома (жилого дома) к заявлению о предоставлению единовременной денежной выплаты взамен земельного участка прилагаются следующие документы:</w:t>
      </w:r>
      <w:proofErr w:type="gramEnd"/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33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4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5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6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5" w:name="P110"/>
      <w:bookmarkEnd w:id="15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6" w:name="P111"/>
      <w:bookmarkEnd w:id="16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7" w:name="P112"/>
      <w:bookmarkEnd w:id="17"/>
      <w:r>
        <w:t>- документы, подтверждающие право собственности на индивидуальный жилой дом (жилой дом);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строительного подряда на реконструкцию индивидуального жилого дома (жилого дома);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8" w:name="P114"/>
      <w:bookmarkEnd w:id="18"/>
      <w:r>
        <w:t>- копия уведомления о соответствии указанных в уведомлении о планируемой реконструкции параметров индивидуального жилого дома (жилого дома) установленным параметрам либо разрешения на строительство;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банковского счета организации или физического лица, с которым заключен договор строительного подряда на реконструкцию индивидуального жилого дома (жилого дома).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1.7. В случае направления выплаты на оплату подключения (технологического присоединения) </w:t>
      </w:r>
      <w:r>
        <w:lastRenderedPageBreak/>
        <w:t>жилого дома (части жилого дома) к сетям инженерно-технического обеспечения, строительства инженерных коммуникаций в границах земельного участка, строительства, реконструкции и модернизации внутридомовых инженерных коммуникаций: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37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8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39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40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19" w:name="P123"/>
      <w:bookmarkEnd w:id="19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0" w:name="P124"/>
      <w:bookmarkEnd w:id="20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1" w:name="P125"/>
      <w:bookmarkEnd w:id="21"/>
      <w: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на подключение (технологическое присоединение) жилого дома (части жилого дома) к сетям инженерно-технического обеспечения, договора на строительство инженерных коммуникаций в границах земельного участка, договора на строительство, реконструкцию и модернизацию внутридомовых инженерных коммуникаций;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банковского счета организации, с которой заключен договор на подключение (технологическое присоединение) жилого дома (части жилого дома) к сетям инженерно-технического обеспечения, договор на строительство инженерных коммуникаций в границах земельного участка, договор на строительство, реконструкцию и модернизацию внутридомовых инженерных коммуникаций.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2. Выплата предоставляется гражданину, имеющему трех и более детей, состоящему на учете в качестве лица, имеющего право на предоставление земельных участков в собственность бесплатно для ведения личного подсобного хозяйства или ведения садоводства, на цели, указанные в </w:t>
      </w:r>
      <w:hyperlink r:id="rId41">
        <w:r>
          <w:rPr>
            <w:color w:val="0000FF"/>
          </w:rPr>
          <w:t>части 1 статьи 12(3)</w:t>
        </w:r>
      </w:hyperlink>
      <w:r>
        <w:t xml:space="preserve"> закона области.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2.1. В случае направления выплаты на приобретение по договору купли-продажи земельного участка, в том числе с расположенными в его границах объектами, с видом разрешенного использования "для индивидуального жилищного строительства", "ведение личного подсобного хозяйства", "садоводство", "ведение садоводства", за исключением земельных участков, находящихся в государственной или муниципальной собственности: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42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43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lastRenderedPageBreak/>
        <w:t xml:space="preserve">родителя, указанного в </w:t>
      </w:r>
      <w:hyperlink r:id="rId44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45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2" w:name="P136"/>
      <w:bookmarkEnd w:id="22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3" w:name="P137"/>
      <w:bookmarkEnd w:id="23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4" w:name="P138"/>
      <w:bookmarkEnd w:id="24"/>
      <w:r>
        <w:t>- копия договора купли-продажи земельного участка (с рассрочкой платежа), на основании которого в установленном порядке осуществлена государственная регистрация права;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банковского счета организации или физического лица, осуществляющего отчуждение приобретаемого земельного участка.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В случае направления выплаты на оплату цены договора строительного подряда на строительство, реконструкцию объектов, расположенных в границах земельного участка с видом разрешенного использования "для индивидуального жилищного строительства", "ведение личного подсобного хозяйства", "садоводство", "ведение садоводства", принадлежащего гражданину, указанному в </w:t>
      </w:r>
      <w:hyperlink r:id="rId46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состоящему на учете для ведения садоводства, для ведения личного подсобного хозяйства:</w:t>
      </w:r>
      <w:proofErr w:type="gramEnd"/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47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48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49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50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5" w:name="P147"/>
      <w:bookmarkEnd w:id="25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6" w:name="P148"/>
      <w:bookmarkEnd w:id="26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7" w:name="P149"/>
      <w:bookmarkEnd w:id="27"/>
      <w:r>
        <w:t>- в случае направления выплаты на реконструкцию объекта недвижимости - документы, подтверждающие право собственности на объект недвижимости;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в случае направления выплаты на строительство объекта недвижимости - градостроительный план земельного участка;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8" w:name="P151"/>
      <w:bookmarkEnd w:id="28"/>
      <w: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участок, в границах которого расположен объект недвижимости;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договора строительного подряда на строительство, реконструкцию объекта </w:t>
      </w:r>
      <w:r>
        <w:lastRenderedPageBreak/>
        <w:t>недвижимости;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29" w:name="P153"/>
      <w:bookmarkEnd w:id="29"/>
      <w:r>
        <w:t>- копия уведомления о соответствии указанных в уведомлении о планируемой реконструкции параметров объекта недвижимости установленным параметрам либо разрешения на строительство;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банковского счета организации или физического лица, с которым заключен договор строительного подряда на строительство, реконструкцию объекта недвижимости.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2.3. В случае направления выплаты на оплату первоначального взноса при получении жилищного кредита, в том числе ипотечного, на приобретение земельного участка, в том числе с расположенными в его границах объектами, с видом разрешенного использования "для индивидуального жилищного строительства", "ведение личного подсобного хозяйства", "садоводство", "ведение садоводства":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51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52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53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54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0" w:name="P162"/>
      <w:bookmarkEnd w:id="30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1" w:name="P163"/>
      <w:bookmarkEnd w:id="31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банковского счета;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кредитного договора (договора займа);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2" w:name="P166"/>
      <w:bookmarkEnd w:id="32"/>
      <w:r>
        <w:t>- копия договора купли-продажи земельного участка, в том числе с расположенными в его границах объектами, на основании которого в установленном порядке осуществлена государственная регистрация права;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кредитора (заимодавца) для перечисления денежных средств.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В случае направления выплаты на погашение основной суммы долга и уплаты процентов по жилищным кредитам (займам), в том числе ипотечным, на приобретение земельного участка, в том числе с расположенными в его границах объектами, с видом разрешенного использования "для индивидуального жилищного строительства", "ведение личного подсобного хозяйства", "садоводство", "ведение садоводства", за исключением штрафов, комиссий, пеней за просрочку исполнения обязательств по указанным кредитам</w:t>
      </w:r>
      <w:proofErr w:type="gramEnd"/>
      <w:r>
        <w:t xml:space="preserve"> (займам):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55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56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lastRenderedPageBreak/>
        <w:t xml:space="preserve">родителя, указанного в </w:t>
      </w:r>
      <w:hyperlink r:id="rId57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58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3" w:name="P175"/>
      <w:bookmarkEnd w:id="33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4" w:name="P176"/>
      <w:bookmarkEnd w:id="34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кредитного договора (договора займа);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справка кредитора (заимодавца) о сумме остатка основного долга и сумме задолженности по выплате процентов за пользование ипотечным кредитом;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реквизиты кредитора (заимодавца) для перечисления денежных средств.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В случае направления выплаты на оплату подключения (технологического присоединения) объекта, расположенного в границах земельного участка с видом разрешенного использования "для индивидуального жилищного строительства", "ведение личного подсобного хозяйства", "садоводство", "ведение садоводства" к сетям инженерно-технического обеспечения; оплаты строительства инженерных коммуникаций в границах такого земельного участка; оплаты строительства, реконструкции и модернизации внутридомовых инженерных коммуникаций:</w:t>
      </w:r>
      <w:proofErr w:type="gramEnd"/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копия паспорта, удостоверяющего личность гражданина Российской Федерации, родителя, указанного в </w:t>
      </w:r>
      <w:hyperlink r:id="rId59">
        <w:r>
          <w:rPr>
            <w:color w:val="0000FF"/>
          </w:rPr>
          <w:t>пункте 1 части 1 статьи 1</w:t>
        </w:r>
      </w:hyperlink>
      <w:r>
        <w:t xml:space="preserve"> закона области, состоящего на учете;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паспорта, удостоверяющего личность гражданина Российской Федерации: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60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имеющего удостоверения многодетной семьи, но являющегося стороной сделки;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61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 и не являющегося стороной сделки, но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родителя, указанного в </w:t>
      </w:r>
      <w:hyperlink r:id="rId62">
        <w:r>
          <w:rPr>
            <w:color w:val="0000FF"/>
          </w:rPr>
          <w:t>пункте 1 части 1 статьи 1</w:t>
        </w:r>
      </w:hyperlink>
      <w:r>
        <w:t xml:space="preserve"> закона области, не состоящего на учете, но являющегося стороной сделки и имеющего удостоверение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паспорта представителя заявителя, удостоверяющего личность гражданина Российской Федерации, и нотариально удостоверенная доверенность - в случае обращения представителя;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5" w:name="P187"/>
      <w:bookmarkEnd w:id="35"/>
      <w:r>
        <w:t>- копии свидетельств о рождении детей;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6" w:name="P188"/>
      <w:bookmarkEnd w:id="36"/>
      <w:r>
        <w:t>- копия удостоверения многодетной семьи;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7" w:name="P189"/>
      <w:bookmarkEnd w:id="37"/>
      <w:r>
        <w:t>- документы, подтверждающие право собственности, аренды, постоянного (бессрочного) пользования или пожизненного наследуемого владения гражданина, обратившегося за предоставлением единовременной выплаты, на земельный участок;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>- копия договора на подключение (технологическое присоединение) объекта к сетям инженерно-технического обеспечения; договора на строительства инженерных коммуникаций в границах земельного участка; договора на строительство, реконструкцию и модернизацию внутридомовых инженерных коммуникаций;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- реквизиты банковского счета организации, с которой заключен договор на подключение (технологическое присоединение) объекта к сетям инженерно-технического обеспечения; договор на </w:t>
      </w:r>
      <w:r>
        <w:lastRenderedPageBreak/>
        <w:t>строительства инженерных коммуникаций в границах земельного участка; договор на строительство, реконструкцию и модернизацию внутридомовых инженерных коммуникаций.</w:t>
      </w:r>
    </w:p>
    <w:p w:rsidR="005E6C64" w:rsidRDefault="005E6C64">
      <w:pPr>
        <w:pStyle w:val="ConsPlusNormal"/>
        <w:spacing w:before="220"/>
        <w:ind w:firstLine="540"/>
        <w:jc w:val="both"/>
      </w:pPr>
      <w:bookmarkStart w:id="38" w:name="P192"/>
      <w:bookmarkEnd w:id="38"/>
      <w:r>
        <w:t>3. Заявитель вправе не представлять документы, предусмотренные: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47">
        <w:r>
          <w:rPr>
            <w:color w:val="0000FF"/>
          </w:rPr>
          <w:t>абзацами восьмым</w:t>
        </w:r>
      </w:hyperlink>
      <w:r>
        <w:t xml:space="preserve">, </w:t>
      </w:r>
      <w:hyperlink w:anchor="P48">
        <w:r>
          <w:rPr>
            <w:color w:val="0000FF"/>
          </w:rPr>
          <w:t>девятым</w:t>
        </w:r>
      </w:hyperlink>
      <w:r>
        <w:t xml:space="preserve">, </w:t>
      </w:r>
      <w:hyperlink w:anchor="P49">
        <w:r>
          <w:rPr>
            <w:color w:val="0000FF"/>
          </w:rPr>
          <w:t>десятым подпункта 1.1 пункта 1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58">
        <w:r>
          <w:rPr>
            <w:color w:val="0000FF"/>
          </w:rPr>
          <w:t>абзацами восьмым</w:t>
        </w:r>
      </w:hyperlink>
      <w:r>
        <w:t xml:space="preserve">, </w:t>
      </w:r>
      <w:hyperlink w:anchor="P59">
        <w:r>
          <w:rPr>
            <w:color w:val="0000FF"/>
          </w:rPr>
          <w:t>девятым</w:t>
        </w:r>
      </w:hyperlink>
      <w:r>
        <w:t xml:space="preserve">, </w:t>
      </w:r>
      <w:hyperlink w:anchor="P60">
        <w:r>
          <w:rPr>
            <w:color w:val="0000FF"/>
          </w:rPr>
          <w:t>десятым</w:t>
        </w:r>
      </w:hyperlink>
      <w:r>
        <w:t xml:space="preserve">, </w:t>
      </w:r>
      <w:hyperlink w:anchor="P62">
        <w:r>
          <w:rPr>
            <w:color w:val="0000FF"/>
          </w:rPr>
          <w:t>двенадцатым подпункта 1.2 пункта 1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71">
        <w:r>
          <w:rPr>
            <w:color w:val="0000FF"/>
          </w:rPr>
          <w:t>абзацами восьмым</w:t>
        </w:r>
      </w:hyperlink>
      <w:r>
        <w:t xml:space="preserve">, </w:t>
      </w:r>
      <w:hyperlink w:anchor="P72">
        <w:r>
          <w:rPr>
            <w:color w:val="0000FF"/>
          </w:rPr>
          <w:t>девятым</w:t>
        </w:r>
      </w:hyperlink>
      <w:r>
        <w:t xml:space="preserve">, </w:t>
      </w:r>
      <w:hyperlink w:anchor="P75">
        <w:r>
          <w:rPr>
            <w:color w:val="0000FF"/>
          </w:rPr>
          <w:t>двенадцатым подпункта 1.3 пункта 1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85">
        <w:r>
          <w:rPr>
            <w:color w:val="0000FF"/>
          </w:rPr>
          <w:t>абзацами восьмым</w:t>
        </w:r>
      </w:hyperlink>
      <w:r>
        <w:t xml:space="preserve">, </w:t>
      </w:r>
      <w:hyperlink w:anchor="P86">
        <w:r>
          <w:rPr>
            <w:color w:val="0000FF"/>
          </w:rPr>
          <w:t>девятым подпункта 1.4 пункта 1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97">
        <w:r>
          <w:rPr>
            <w:color w:val="0000FF"/>
          </w:rPr>
          <w:t>абзацем восьмым</w:t>
        </w:r>
      </w:hyperlink>
      <w:r>
        <w:t xml:space="preserve">, </w:t>
      </w:r>
      <w:hyperlink w:anchor="P98">
        <w:r>
          <w:rPr>
            <w:color w:val="0000FF"/>
          </w:rPr>
          <w:t>девятым подпункта 1.5 пункта 1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абзацами восьмым</w:t>
        </w:r>
      </w:hyperlink>
      <w:r>
        <w:t xml:space="preserve">, </w:t>
      </w:r>
      <w:hyperlink w:anchor="P111">
        <w:r>
          <w:rPr>
            <w:color w:val="0000FF"/>
          </w:rPr>
          <w:t>девятым</w:t>
        </w:r>
      </w:hyperlink>
      <w:r>
        <w:t xml:space="preserve">, </w:t>
      </w:r>
      <w:hyperlink w:anchor="P112">
        <w:r>
          <w:rPr>
            <w:color w:val="0000FF"/>
          </w:rPr>
          <w:t>десятым</w:t>
        </w:r>
      </w:hyperlink>
      <w:r>
        <w:t xml:space="preserve">, </w:t>
      </w:r>
      <w:hyperlink w:anchor="P114">
        <w:r>
          <w:rPr>
            <w:color w:val="0000FF"/>
          </w:rPr>
          <w:t>двенадцатым подпункта 1.6 пункта 1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123">
        <w:r>
          <w:rPr>
            <w:color w:val="0000FF"/>
          </w:rPr>
          <w:t>абзацами восьмым</w:t>
        </w:r>
      </w:hyperlink>
      <w:r>
        <w:t xml:space="preserve">, </w:t>
      </w:r>
      <w:hyperlink w:anchor="P124">
        <w:r>
          <w:rPr>
            <w:color w:val="0000FF"/>
          </w:rPr>
          <w:t>девятым</w:t>
        </w:r>
      </w:hyperlink>
      <w:r>
        <w:t xml:space="preserve">, </w:t>
      </w:r>
      <w:hyperlink w:anchor="P125">
        <w:r>
          <w:rPr>
            <w:color w:val="0000FF"/>
          </w:rPr>
          <w:t>десятым подпункта 1.7 пункта 1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136">
        <w:r>
          <w:rPr>
            <w:color w:val="0000FF"/>
          </w:rPr>
          <w:t>абзацами восьмым</w:t>
        </w:r>
      </w:hyperlink>
      <w:r>
        <w:t xml:space="preserve">, </w:t>
      </w:r>
      <w:hyperlink w:anchor="P137">
        <w:r>
          <w:rPr>
            <w:color w:val="0000FF"/>
          </w:rPr>
          <w:t>девятым</w:t>
        </w:r>
      </w:hyperlink>
      <w:r>
        <w:t xml:space="preserve">, </w:t>
      </w:r>
      <w:hyperlink w:anchor="P138">
        <w:r>
          <w:rPr>
            <w:color w:val="0000FF"/>
          </w:rPr>
          <w:t>десятым подпункта 2.1 пункта 2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147">
        <w:r>
          <w:rPr>
            <w:color w:val="0000FF"/>
          </w:rPr>
          <w:t>абзацами восьмым</w:t>
        </w:r>
      </w:hyperlink>
      <w:r>
        <w:t xml:space="preserve">, </w:t>
      </w:r>
      <w:hyperlink w:anchor="P148">
        <w:r>
          <w:rPr>
            <w:color w:val="0000FF"/>
          </w:rPr>
          <w:t>девятым</w:t>
        </w:r>
      </w:hyperlink>
      <w:r>
        <w:t xml:space="preserve">, </w:t>
      </w:r>
      <w:hyperlink w:anchor="P149">
        <w:r>
          <w:rPr>
            <w:color w:val="0000FF"/>
          </w:rPr>
          <w:t>десятым</w:t>
        </w:r>
      </w:hyperlink>
      <w:r>
        <w:t xml:space="preserve">, </w:t>
      </w:r>
      <w:hyperlink w:anchor="P151">
        <w:r>
          <w:rPr>
            <w:color w:val="0000FF"/>
          </w:rPr>
          <w:t>двенадцатым</w:t>
        </w:r>
      </w:hyperlink>
      <w:r>
        <w:t xml:space="preserve">, </w:t>
      </w:r>
      <w:hyperlink w:anchor="P153">
        <w:r>
          <w:rPr>
            <w:color w:val="0000FF"/>
          </w:rPr>
          <w:t>четырнадцатым подпункта 2.2 пункта 2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162">
        <w:r>
          <w:rPr>
            <w:color w:val="0000FF"/>
          </w:rPr>
          <w:t>абзацами восьмым</w:t>
        </w:r>
      </w:hyperlink>
      <w:r>
        <w:t xml:space="preserve">, </w:t>
      </w:r>
      <w:hyperlink w:anchor="P163">
        <w:r>
          <w:rPr>
            <w:color w:val="0000FF"/>
          </w:rPr>
          <w:t>девятым</w:t>
        </w:r>
      </w:hyperlink>
      <w:r>
        <w:t xml:space="preserve">, </w:t>
      </w:r>
      <w:hyperlink w:anchor="P166">
        <w:r>
          <w:rPr>
            <w:color w:val="0000FF"/>
          </w:rPr>
          <w:t>двенадцатым подпункта 2.3 пункта 2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175">
        <w:r>
          <w:rPr>
            <w:color w:val="0000FF"/>
          </w:rPr>
          <w:t>абзацами восьмым</w:t>
        </w:r>
      </w:hyperlink>
      <w:r>
        <w:t xml:space="preserve">, </w:t>
      </w:r>
      <w:hyperlink w:anchor="P176">
        <w:r>
          <w:rPr>
            <w:color w:val="0000FF"/>
          </w:rPr>
          <w:t>девятым подпункта 2.4 пункта 2</w:t>
        </w:r>
      </w:hyperlink>
      <w:r>
        <w:t>;</w:t>
      </w:r>
    </w:p>
    <w:p w:rsidR="005E6C64" w:rsidRDefault="005E6C64">
      <w:pPr>
        <w:pStyle w:val="ConsPlusNormal"/>
        <w:spacing w:before="220"/>
        <w:ind w:firstLine="540"/>
        <w:jc w:val="both"/>
      </w:pPr>
      <w:hyperlink w:anchor="P187">
        <w:r>
          <w:rPr>
            <w:color w:val="0000FF"/>
          </w:rPr>
          <w:t>абзацами восьмым</w:t>
        </w:r>
      </w:hyperlink>
      <w:r>
        <w:t xml:space="preserve">, </w:t>
      </w:r>
      <w:hyperlink w:anchor="P188">
        <w:r>
          <w:rPr>
            <w:color w:val="0000FF"/>
          </w:rPr>
          <w:t>девятым</w:t>
        </w:r>
      </w:hyperlink>
      <w:r>
        <w:t xml:space="preserve">, </w:t>
      </w:r>
      <w:hyperlink w:anchor="P189">
        <w:r>
          <w:rPr>
            <w:color w:val="0000FF"/>
          </w:rPr>
          <w:t>десятым подпункта 2.5 пункта 2</w:t>
        </w:r>
      </w:hyperlink>
      <w:r>
        <w:t>.</w:t>
      </w:r>
    </w:p>
    <w:p w:rsidR="005E6C64" w:rsidRDefault="005E6C6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документы, указанные в </w:t>
      </w:r>
      <w:hyperlink w:anchor="P192">
        <w:r>
          <w:rPr>
            <w:color w:val="0000FF"/>
          </w:rPr>
          <w:t>пункте 3</w:t>
        </w:r>
      </w:hyperlink>
      <w:r>
        <w:t xml:space="preserve"> Перечня, не были представлены заявителем по собственной инициативе, данные документы (их копии или содержащиеся в них сведения)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сведения).</w:t>
      </w:r>
      <w:proofErr w:type="gramEnd"/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jc w:val="both"/>
      </w:pPr>
    </w:p>
    <w:p w:rsidR="005E6C64" w:rsidRDefault="005E6C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204" w:rsidRDefault="00B71204">
      <w:bookmarkStart w:id="39" w:name="_GoBack"/>
      <w:bookmarkEnd w:id="39"/>
    </w:p>
    <w:sectPr w:rsidR="00B71204" w:rsidSect="00717820">
      <w:pgSz w:w="11906" w:h="16838"/>
      <w:pgMar w:top="851" w:right="851" w:bottom="851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64"/>
    <w:rsid w:val="005E6C64"/>
    <w:rsid w:val="00737E45"/>
    <w:rsid w:val="00B7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6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6C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6C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18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6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9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1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4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2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7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0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5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DA3D62B7E6FB8AD3E24107BC3DF8F6FDCD025D07CB24668686A033681E98C30F280651E10EE124FFBBEB80C9741FF8927718A2387BF4E1CA3019E44Ex9R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0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9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1" Type="http://schemas.openxmlformats.org/officeDocument/2006/relationships/hyperlink" Target="consultantplus://offline/ref=DA3D62B7E6FB8AD3E24107BC3DF8F6FDCD025D07C822628A84A433681E98C30F280651E10EE124FFBBEB85CC701FF8927718A2387BF4E1CA3019E44Ex9R7N" TargetMode="External"/><Relationship Id="rId54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62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D62B7E6FB8AD3E24107BC3DF8F6FDCD025D07CB25668780A433681E98C30F280651E10EE124FFBBEB80C9741FF8927718A2387BF4E1CA3019E44Ex9R7N" TargetMode="External"/><Relationship Id="rId11" Type="http://schemas.openxmlformats.org/officeDocument/2006/relationships/hyperlink" Target="consultantplus://offline/ref=DA3D62B7E6FB8AD3E24107BC3DF8F6FDCD025D07C8236B8B88A933681E98C30F280651E10EE124FFBBEB80C9741FF8927718A2387BF4E1CA3019E44Ex9R7N" TargetMode="External"/><Relationship Id="rId24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2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7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0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5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3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8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3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8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6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9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7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61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10" Type="http://schemas.openxmlformats.org/officeDocument/2006/relationships/hyperlink" Target="consultantplus://offline/ref=DA3D62B7E6FB8AD3E24107BC3DF8F6FDCD025D07C822628A84A433681E98C30F280651E10EE124FFBBEB84CB741FF8927718A2387BF4E1CA3019E44Ex9R7N" TargetMode="External"/><Relationship Id="rId19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1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4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2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60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3D62B7E6FB8AD3E24107BC3DF8F6FDCD025D07C8236B8B88A933681E98C30F280651E10EE124FFBBEB80C9741FF8927718A2387BF4E1CA3019E44Ex9R7N" TargetMode="External"/><Relationship Id="rId14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2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7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0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5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3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8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6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DA3D62B7E6FB8AD3E24107BC3DF8F6FDCD025D07CB2A678A81A333681E98C30F280651E10EE124FFBBEB80C9741FF8927718A2387BF4E1CA3019E44Ex9R7N" TargetMode="External"/><Relationship Id="rId51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A3D62B7E6FB8AD3E24107BC3DF8F6FDCD025D07C822628A84A433681E98C30F280651E10EE124FFBBEB84C0731FF8927718A2387BF4E1CA3019E44Ex9R7N" TargetMode="External"/><Relationship Id="rId17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25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3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38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46" Type="http://schemas.openxmlformats.org/officeDocument/2006/relationships/hyperlink" Target="consultantplus://offline/ref=DA3D62B7E6FB8AD3E24107BC3DF8F6FDCD025D07C822628A84A433681E98C30F280651E10EE124FFBBEB80C8741FF8927718A2387BF4E1CA3019E44Ex9R7N" TargetMode="External"/><Relationship Id="rId59" Type="http://schemas.openxmlformats.org/officeDocument/2006/relationships/hyperlink" Target="consultantplus://offline/ref=DA3D62B7E6FB8AD3E24107BC3DF8F6FDCD025D07C822628A84A433681E98C30F280651E10EE124FFBBEB80C8741FF8927718A2387BF4E1CA3019E44Ex9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5714</Words>
  <Characters>32573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us-8</cp:lastModifiedBy>
  <cp:revision>1</cp:revision>
  <dcterms:created xsi:type="dcterms:W3CDTF">2023-01-16T13:17:00Z</dcterms:created>
  <dcterms:modified xsi:type="dcterms:W3CDTF">2023-01-16T13:17:00Z</dcterms:modified>
</cp:coreProperties>
</file>