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1F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 xml:space="preserve">Утвержден приказом 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Контрольно-счетной комиссии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Харовского муниципального округа</w:t>
      </w:r>
    </w:p>
    <w:p w:rsidR="00F46303" w:rsidRPr="00F46303" w:rsidRDefault="00B77300" w:rsidP="00F46303">
      <w:pPr>
        <w:autoSpaceDE w:val="0"/>
        <w:jc w:val="right"/>
        <w:rPr>
          <w:bCs/>
        </w:rPr>
      </w:pPr>
      <w:r>
        <w:rPr>
          <w:bCs/>
        </w:rPr>
        <w:t xml:space="preserve">От </w:t>
      </w:r>
      <w:r w:rsidR="002634A4">
        <w:rPr>
          <w:bCs/>
        </w:rPr>
        <w:t>28.12</w:t>
      </w:r>
      <w:r w:rsidR="00F46303" w:rsidRPr="00F46303">
        <w:rPr>
          <w:bCs/>
        </w:rPr>
        <w:t>.202</w:t>
      </w:r>
      <w:r w:rsidR="002634A4">
        <w:rPr>
          <w:bCs/>
        </w:rPr>
        <w:t>3 №34</w:t>
      </w:r>
      <w:r w:rsidR="00F46303" w:rsidRPr="00F46303">
        <w:rPr>
          <w:bCs/>
        </w:rPr>
        <w:t xml:space="preserve"> о/д</w:t>
      </w:r>
      <w:r w:rsidR="00A93272">
        <w:rPr>
          <w:bCs/>
        </w:rPr>
        <w:t xml:space="preserve"> (в ред. от 2</w:t>
      </w:r>
      <w:bookmarkStart w:id="0" w:name="_GoBack"/>
      <w:bookmarkEnd w:id="0"/>
      <w:r w:rsidR="00A93272">
        <w:rPr>
          <w:bCs/>
        </w:rPr>
        <w:t>6.08</w:t>
      </w:r>
      <w:r w:rsidR="002634A4">
        <w:rPr>
          <w:bCs/>
        </w:rPr>
        <w:t>.2024)</w:t>
      </w:r>
    </w:p>
    <w:p w:rsidR="00905B1F" w:rsidRDefault="00905B1F">
      <w:pPr>
        <w:autoSpaceDE w:val="0"/>
        <w:jc w:val="center"/>
        <w:rPr>
          <w:b/>
          <w:bCs/>
        </w:rPr>
      </w:pPr>
    </w:p>
    <w:p w:rsidR="003859DC" w:rsidRDefault="003859DC">
      <w:pPr>
        <w:autoSpaceDE w:val="0"/>
        <w:jc w:val="center"/>
        <w:rPr>
          <w:b/>
          <w:bCs/>
        </w:rPr>
      </w:pPr>
    </w:p>
    <w:p w:rsidR="003859DC" w:rsidRDefault="00941E84">
      <w:pPr>
        <w:autoSpaceDE w:val="0"/>
        <w:jc w:val="center"/>
      </w:pPr>
      <w:proofErr w:type="gramStart"/>
      <w:r>
        <w:rPr>
          <w:b/>
          <w:bCs/>
        </w:rPr>
        <w:t>План  работы</w:t>
      </w:r>
      <w:proofErr w:type="gramEnd"/>
    </w:p>
    <w:p w:rsidR="003859DC" w:rsidRDefault="00941E84">
      <w:pPr>
        <w:jc w:val="center"/>
      </w:pPr>
      <w:r>
        <w:t xml:space="preserve">Контрольно-счетной комиссии </w:t>
      </w:r>
    </w:p>
    <w:p w:rsidR="003859DC" w:rsidRDefault="00941E84">
      <w:pPr>
        <w:jc w:val="center"/>
        <w:rPr>
          <w:b/>
          <w:sz w:val="28"/>
          <w:szCs w:val="28"/>
        </w:rPr>
      </w:pPr>
      <w:proofErr w:type="gramStart"/>
      <w:r>
        <w:t xml:space="preserve">Харовского </w:t>
      </w:r>
      <w:r w:rsidR="00905B1F">
        <w:t xml:space="preserve"> муниципального</w:t>
      </w:r>
      <w:proofErr w:type="gramEnd"/>
      <w:r w:rsidR="00905B1F">
        <w:t xml:space="preserve">  округа на  2024</w:t>
      </w:r>
      <w:r>
        <w:t xml:space="preserve">  год  </w:t>
      </w:r>
    </w:p>
    <w:p w:rsidR="003859DC" w:rsidRDefault="003859DC">
      <w:pPr>
        <w:jc w:val="center"/>
        <w:rPr>
          <w:b/>
          <w:sz w:val="28"/>
          <w:szCs w:val="28"/>
        </w:rPr>
      </w:pPr>
    </w:p>
    <w:tbl>
      <w:tblPr>
        <w:tblW w:w="1502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3543"/>
        <w:gridCol w:w="1696"/>
        <w:gridCol w:w="2835"/>
        <w:gridCol w:w="2410"/>
        <w:gridCol w:w="1984"/>
        <w:gridCol w:w="1843"/>
        <w:gridCol w:w="142"/>
      </w:tblGrid>
      <w:tr w:rsidR="00B7546B" w:rsidTr="00CA15D7">
        <w:trPr>
          <w:gridAfter w:val="1"/>
          <w:wAfter w:w="142" w:type="dxa"/>
          <w:trHeight w:val="30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B7546B" w:rsidRDefault="00B7546B" w:rsidP="00F46303">
            <w:pPr>
              <w:jc w:val="center"/>
              <w:rPr>
                <w:color w:val="000000"/>
              </w:rPr>
            </w:pPr>
          </w:p>
          <w:p w:rsidR="00B7546B" w:rsidRDefault="00B7546B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7546B" w:rsidRDefault="00B7546B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мероприятий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контроля (аудита)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</w:p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  <w:r w:rsidR="00B7546B">
              <w:rPr>
                <w:color w:val="000000"/>
              </w:rPr>
              <w:t xml:space="preserve"> проведения</w:t>
            </w:r>
          </w:p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  <w:p w:rsidR="00B7546B" w:rsidRDefault="00B7546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за проведение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546B" w:rsidRDefault="00B7546B" w:rsidP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Инициатор</w:t>
            </w:r>
          </w:p>
          <w:p w:rsidR="00B7546B" w:rsidRDefault="00B7546B" w:rsidP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8B5C28" w:rsidTr="00CA15D7">
        <w:trPr>
          <w:gridAfter w:val="1"/>
          <w:wAfter w:w="142" w:type="dxa"/>
          <w:trHeight w:val="4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</w:p>
        </w:tc>
        <w:tc>
          <w:tcPr>
            <w:tcW w:w="1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Экспертно-аналитическая деятельность</w:t>
            </w:r>
          </w:p>
        </w:tc>
      </w:tr>
      <w:tr w:rsidR="00B7546B" w:rsidTr="00CA15D7">
        <w:trPr>
          <w:gridAfter w:val="1"/>
          <w:wAfter w:w="142" w:type="dxa"/>
          <w:trHeight w:val="4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t>Внешняя проверка бюджетной отчетности главных администраторов (распорядителей) бюджетных средств за 2023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  <w:r>
              <w:rPr>
                <w:color w:val="000000"/>
              </w:rPr>
              <w:t xml:space="preserve">, 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Собрание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комиссия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Харовского муниципального округа,</w:t>
            </w:r>
          </w:p>
          <w:p w:rsidR="00C478B4" w:rsidRDefault="00A06124" w:rsidP="00A0612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по управлению имуществом </w:t>
            </w:r>
            <w:r>
              <w:rPr>
                <w:color w:val="000000"/>
              </w:rPr>
              <w:t>администрации Харовского муниципального округа</w:t>
            </w:r>
            <w:r>
              <w:rPr>
                <w:color w:val="000000"/>
              </w:rPr>
              <w:t xml:space="preserve">, Управление культуры, спорта, туризма и молодежной политики </w:t>
            </w:r>
            <w:r>
              <w:rPr>
                <w:color w:val="000000"/>
              </w:rPr>
              <w:t>администрации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(март-апрель)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0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FD53BB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Подготовка заключения на годовой отчет об исполнении бюджета Харовского муниципального округа</w:t>
            </w:r>
          </w:p>
          <w:p w:rsidR="00B7546B" w:rsidRDefault="00B7546B" w:rsidP="00FD53BB">
            <w:pPr>
              <w:jc w:val="center"/>
              <w:rPr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 за 2023 год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B5CD6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(до 1 мая)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решений Муниципального Собрания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 xml:space="preserve">округа о внесении изменений в </w:t>
            </w:r>
            <w:proofErr w:type="gramStart"/>
            <w:r>
              <w:rPr>
                <w:color w:val="000000"/>
              </w:rPr>
              <w:t>решение  «</w:t>
            </w:r>
            <w:proofErr w:type="gramEnd"/>
            <w:r>
              <w:rPr>
                <w:color w:val="000000"/>
              </w:rPr>
              <w:t>О бюджете округа на 2024 год и плановый период 2025-2026 годы»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отчетов об </w:t>
            </w:r>
            <w:proofErr w:type="gramStart"/>
            <w:r>
              <w:rPr>
                <w:color w:val="000000"/>
              </w:rPr>
              <w:t>исполнении  бюджета</w:t>
            </w:r>
            <w:proofErr w:type="gramEnd"/>
            <w:r>
              <w:rPr>
                <w:color w:val="000000"/>
              </w:rPr>
              <w:t xml:space="preserve"> округа за 1 квартал, 6 месяцев и 9 месяцев 2024 года.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C478B4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E22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и 4 кварталы соответственно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139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Экспертиза  проекта</w:t>
            </w:r>
            <w:proofErr w:type="gramEnd"/>
            <w:r>
              <w:rPr>
                <w:color w:val="000000"/>
              </w:rPr>
              <w:t xml:space="preserve">  решения  Муниципального Собрания</w:t>
            </w:r>
            <w:r w:rsidR="00C478B4">
              <w:rPr>
                <w:color w:val="000000"/>
              </w:rPr>
              <w:t xml:space="preserve"> </w:t>
            </w:r>
            <w:r w:rsidR="00C478B4">
              <w:rPr>
                <w:color w:val="000000"/>
              </w:rPr>
              <w:t>Харовского муниципального</w:t>
            </w:r>
            <w:r>
              <w:rPr>
                <w:color w:val="000000"/>
              </w:rPr>
              <w:t xml:space="preserve"> округа  «О бюджете округа на 2025  год и плановый период 2026-2027 годы».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 квартал)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</w:t>
            </w:r>
            <w:proofErr w:type="gramStart"/>
            <w:r>
              <w:rPr>
                <w:color w:val="000000"/>
              </w:rPr>
              <w:t>решений  Муниципального</w:t>
            </w:r>
            <w:proofErr w:type="gramEnd"/>
            <w:r>
              <w:rPr>
                <w:color w:val="000000"/>
              </w:rPr>
              <w:t xml:space="preserve"> Собрания </w:t>
            </w:r>
            <w:r w:rsidR="00F93295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 и иных муниципальных правовых актов органов местного самоуправления, приводящих к изменению доходов бюджета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 w:rsidP="00C821F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решений Муниципального Собрания </w:t>
            </w:r>
            <w:r w:rsidR="00F93295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 и иных муниципальных правовых актов органов местного самоуправления в части, касающейся расходных обязательств Харовского муниципального округа, а также муниципальных программ (проектов муниципальных программ)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</w:p>
          <w:p w:rsidR="00B7546B" w:rsidRDefault="00B7546B">
            <w:pPr>
              <w:jc w:val="center"/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>
            <w:pPr>
              <w:jc w:val="center"/>
            </w:pPr>
          </w:p>
          <w:p w:rsidR="00B7546B" w:rsidRDefault="00B7546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gridAfter w:val="1"/>
          <w:wAfter w:w="142" w:type="dxa"/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</w:pPr>
            <w:r>
              <w:rPr>
                <w:color w:val="000000"/>
              </w:rPr>
              <w:t>1.8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D656D">
            <w:pPr>
              <w:spacing w:before="60" w:after="60"/>
              <w:jc w:val="center"/>
              <w:rPr>
                <w:color w:val="000000"/>
              </w:rPr>
            </w:pPr>
            <w:r>
              <w:t xml:space="preserve">Мониторинг исполнения предложений Контрольно-счётной комиссии округа по результатам экспертизы проектов муниципальных правовых актов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Мониторинг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gridAfter w:val="1"/>
          <w:wAfter w:w="142" w:type="dxa"/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Контрольная деятельность</w:t>
            </w:r>
          </w:p>
        </w:tc>
      </w:tr>
      <w:tr w:rsidR="00B7546B" w:rsidTr="00CA15D7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BE2253" w:rsidRDefault="00B7546B" w:rsidP="00BE2253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BE2253">
              <w:t xml:space="preserve">Проверка достоверности сведений форм бюджетной отчетности за 2022 год по материалам проверки Департамента финансов Вологодской области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(камеральная)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F93295" w:rsidP="00F9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управлению имуществом администрации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BE2253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2B5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Харовского муниципального округа</w:t>
            </w:r>
          </w:p>
        </w:tc>
      </w:tr>
      <w:tr w:rsidR="00B7546B" w:rsidTr="00CA15D7">
        <w:trPr>
          <w:trHeight w:val="52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7546B" w:rsidRPr="002E6C0A" w:rsidRDefault="00B7546B" w:rsidP="00905B1F">
            <w:pPr>
              <w:autoSpaceDE w:val="0"/>
              <w:autoSpaceDN w:val="0"/>
              <w:adjustRightInd w:val="0"/>
              <w:jc w:val="center"/>
            </w:pPr>
            <w:r w:rsidRPr="008A0F3A">
              <w:t xml:space="preserve">Проверка полноты и своевременности поступления в бюджет </w:t>
            </w:r>
            <w:r>
              <w:t xml:space="preserve">Харовского </w:t>
            </w:r>
            <w:r w:rsidRPr="008A0F3A">
              <w:t xml:space="preserve">муниципального </w:t>
            </w:r>
            <w:r>
              <w:t xml:space="preserve">округа доходов, полученных в виде </w:t>
            </w:r>
            <w:r w:rsidRPr="008A0F3A">
              <w:t>арендной платы за земельны</w:t>
            </w:r>
            <w:r>
              <w:t>е участк</w:t>
            </w:r>
            <w:r w:rsidRPr="008A0F3A">
              <w:t>и.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(камеральная)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2B5CD6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округа,</w:t>
            </w:r>
          </w:p>
          <w:p w:rsidR="002B5CD6" w:rsidRDefault="002B5CD6" w:rsidP="002B5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управлению имуществом администрации Харовского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Pr="00905B1F" w:rsidRDefault="00B7546B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2B5CD6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Собрание Харовского муниципального округа</w:t>
            </w:r>
          </w:p>
        </w:tc>
      </w:tr>
      <w:tr w:rsidR="00B7546B" w:rsidTr="00CA15D7">
        <w:trPr>
          <w:trHeight w:val="52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Внеплановые проверки по поручению Главы </w:t>
            </w:r>
            <w:r w:rsidR="00C478B4">
              <w:rPr>
                <w:color w:val="000000"/>
              </w:rPr>
              <w:t xml:space="preserve">Харовского </w:t>
            </w:r>
            <w:r>
              <w:rPr>
                <w:color w:val="000000"/>
              </w:rPr>
              <w:t xml:space="preserve">муниципального округа и Муниципального Собрания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</w:t>
            </w:r>
          </w:p>
          <w:p w:rsidR="00B7546B" w:rsidRDefault="00B7546B" w:rsidP="00905B1F">
            <w:pPr>
              <w:jc w:val="center"/>
              <w:rPr>
                <w:color w:val="000000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требованию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</w:tc>
      </w:tr>
      <w:tr w:rsidR="00B7546B" w:rsidTr="00CA15D7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(выборочно при необходимости)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D656D">
            <w:pPr>
              <w:jc w:val="center"/>
              <w:rPr>
                <w:color w:val="000000"/>
              </w:rPr>
            </w:pPr>
            <w:r>
              <w:t xml:space="preserve">Мониторинг исполнения представлений и предписаний Контрольно-счётной комиссии </w:t>
            </w:r>
            <w:r>
              <w:lastRenderedPageBreak/>
              <w:t>округа по ранее проведённым проверкам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C478B4" w:rsidRDefault="00C478B4" w:rsidP="00905B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478B4" w:rsidRDefault="00C478B4" w:rsidP="00905B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CA15D7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2A4D37" w:rsidRDefault="00B7546B" w:rsidP="00B77300">
            <w:pPr>
              <w:jc w:val="center"/>
            </w:pPr>
            <w:r w:rsidRPr="002A4D37">
              <w:t>Проверка использования средств местного бюджета, использования и распоряжения муниципальной собственности по фактам, указанным в обращении граждан от 15.12.2023 №ОГ.01-12982/23</w:t>
            </w:r>
          </w:p>
          <w:p w:rsidR="00B7546B" w:rsidRDefault="00B7546B" w:rsidP="00B77300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(камеральная)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B5CD6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BE2253" w:rsidRDefault="00B7546B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2B5CD6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Обращение граждан</w:t>
            </w:r>
          </w:p>
        </w:tc>
      </w:tr>
      <w:tr w:rsidR="008B5C28" w:rsidTr="00CA15D7">
        <w:trPr>
          <w:trHeight w:val="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C28" w:rsidRDefault="008B5C28" w:rsidP="00905B1F">
            <w:pPr>
              <w:jc w:val="center"/>
              <w:rPr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C28" w:rsidRDefault="008B5C28" w:rsidP="00905B1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3.  Информационная и организационная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905B1F">
            <w:pPr>
              <w:jc w:val="center"/>
              <w:rPr>
                <w:b/>
              </w:rPr>
            </w:pPr>
          </w:p>
        </w:tc>
      </w:tr>
      <w:tr w:rsidR="00B7546B" w:rsidTr="00CA15D7">
        <w:trPr>
          <w:trHeight w:val="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</w:pPr>
            <w:r>
              <w:t>3.1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8D7D0E">
            <w:pPr>
              <w:jc w:val="center"/>
            </w:pPr>
            <w:r>
              <w:t xml:space="preserve">Формирование и представление в Муниципальное Собрание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t>округа отчёта о деятельности Контрольно-счётной комиссии округа за 2023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</w:pPr>
            <w:r>
              <w:t>-</w:t>
            </w:r>
          </w:p>
          <w:p w:rsidR="008B5C28" w:rsidRDefault="008B5C28" w:rsidP="00905B1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</w:pPr>
            <w:r>
              <w:t>-</w:t>
            </w:r>
          </w:p>
          <w:p w:rsidR="008B5C28" w:rsidRDefault="008B5C28" w:rsidP="00905B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t>2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7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3.2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rPr>
                <w:bCs/>
              </w:rPr>
              <w:t xml:space="preserve">Размещение </w:t>
            </w:r>
            <w:r w:rsidRPr="005B6F22">
              <w:rPr>
                <w:bCs/>
              </w:rPr>
              <w:t>о</w:t>
            </w:r>
            <w:r>
              <w:rPr>
                <w:bCs/>
              </w:rPr>
              <w:t>тчета о</w:t>
            </w:r>
            <w:r w:rsidRPr="005B6F22">
              <w:rPr>
                <w:bCs/>
              </w:rPr>
              <w:t xml:space="preserve"> </w:t>
            </w:r>
            <w:r>
              <w:t xml:space="preserve">деятельности Контрольно-счётной комиссии округа </w:t>
            </w:r>
            <w:r w:rsidRPr="005B6F22">
              <w:rPr>
                <w:bCs/>
              </w:rPr>
              <w:t>за 20</w:t>
            </w:r>
            <w:r>
              <w:rPr>
                <w:bCs/>
              </w:rPr>
              <w:t>2</w:t>
            </w:r>
            <w:r w:rsidRPr="00CA1C58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5B6F22">
              <w:rPr>
                <w:bCs/>
              </w:rPr>
              <w:t>год</w:t>
            </w:r>
            <w:r>
              <w:rPr>
                <w:bCs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2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7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3.3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Представление заключений и письменных ответов на запросы, предусмотренные Положением о Контрольно-счётной комиссии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3.4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 xml:space="preserve">Участие в заседаниях постоянных комиссий, публичных слушаниях, заседаниях Муниципального </w:t>
            </w:r>
            <w:r>
              <w:lastRenderedPageBreak/>
              <w:t>Собрания</w:t>
            </w:r>
            <w:r w:rsidR="00C478B4">
              <w:rPr>
                <w:color w:val="000000"/>
              </w:rPr>
              <w:t xml:space="preserve"> </w:t>
            </w:r>
            <w:r w:rsidR="00C478B4">
              <w:rPr>
                <w:color w:val="000000"/>
              </w:rPr>
              <w:t>Харовского муниципального</w:t>
            </w:r>
            <w:r>
              <w:t xml:space="preserve">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lastRenderedPageBreak/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9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3.5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Взаимодействие с Прокуратурой</w:t>
            </w:r>
            <w:r w:rsidR="00C478B4">
              <w:t xml:space="preserve"> </w:t>
            </w:r>
            <w:proofErr w:type="gramStart"/>
            <w:r w:rsidR="00C478B4">
              <w:t xml:space="preserve">Харовского </w:t>
            </w:r>
            <w:r>
              <w:t xml:space="preserve"> района</w:t>
            </w:r>
            <w:proofErr w:type="gramEnd"/>
            <w:r>
              <w:t xml:space="preserve"> и иными правоохранительными, надзорными и контрольными органами, в том числе подготовка и представление в Прокуратуру</w:t>
            </w:r>
            <w:r w:rsidR="00C478B4">
              <w:t xml:space="preserve"> Харовского</w:t>
            </w:r>
            <w:r>
              <w:t xml:space="preserve"> района отчетов, составленных по результатам проверок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CA15D7" w:rsidTr="00CA15D7">
        <w:trPr>
          <w:trHeight w:val="6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3.6</w:t>
            </w:r>
          </w:p>
        </w:tc>
        <w:tc>
          <w:tcPr>
            <w:tcW w:w="3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Участие в семинарах и рабочих встречах по вопросам финансового контроля, Совете контрольно-счётных органов Вологодской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7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3.7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Размещение информации о деятельности Контрольно-счетной комиссии округа на официальном сайте Харовского муниципального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3.8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</w:pPr>
            <w:r>
              <w:t>Разработка локальной документации, регламентирующей деятельность Контрольно-счетной комиссии округа и внесение изменений в действующую документацию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  <w:rPr>
                <w:color w:val="000000"/>
              </w:rPr>
            </w:pPr>
            <w: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 w:rsidRPr="00AC28B8"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3.9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 xml:space="preserve">Разработка стандартов и методических рекомендаций внешнего муниципального </w:t>
            </w:r>
            <w:r>
              <w:lastRenderedPageBreak/>
              <w:t>финансового контроля Контрольно-счетной комиссии округа и внесение изменений в действующие стандарты и методические рекомендации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lastRenderedPageBreak/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 w:rsidRPr="00AC28B8"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8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3.10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Разработка и представление в Муниципальное Собрание</w:t>
            </w:r>
            <w:r w:rsidR="00C478B4">
              <w:rPr>
                <w:color w:val="000000"/>
              </w:rPr>
              <w:t xml:space="preserve"> </w:t>
            </w:r>
            <w:r w:rsidR="00C478B4">
              <w:rPr>
                <w:color w:val="000000"/>
              </w:rPr>
              <w:t>Харовского муниципального</w:t>
            </w:r>
            <w:r>
              <w:t xml:space="preserve"> округа плана работы Контрольно-счётной комиссии округа на 2025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A62" w:rsidRDefault="002C7A62" w:rsidP="008B5C28">
            <w:pPr>
              <w:jc w:val="center"/>
            </w:pPr>
            <w:r>
              <w:t xml:space="preserve"> 4 квартал, </w:t>
            </w:r>
          </w:p>
          <w:p w:rsidR="008B5C28" w:rsidRDefault="002C7A62" w:rsidP="008B5C28">
            <w:pPr>
              <w:jc w:val="center"/>
            </w:pPr>
            <w:r>
              <w:t>н</w:t>
            </w:r>
            <w:r w:rsidR="008B5C28">
              <w:t>е позднее</w:t>
            </w:r>
          </w:p>
          <w:p w:rsidR="008B5C28" w:rsidRDefault="008B5C28" w:rsidP="008B5C28">
            <w:pPr>
              <w:jc w:val="center"/>
              <w:rPr>
                <w:color w:val="000000"/>
              </w:rPr>
            </w:pPr>
            <w:r>
              <w:t>30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CA15D7">
        <w:trPr>
          <w:trHeight w:val="88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3.11</w:t>
            </w:r>
          </w:p>
        </w:tc>
        <w:tc>
          <w:tcPr>
            <w:tcW w:w="3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</w:pPr>
            <w:r>
              <w:t>Консультационная работа по обращениям организаций и граждан по вопросам, отнесенных к компетенции Контрольно-счетной комиссии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</w:tbl>
    <w:p w:rsidR="003859DC" w:rsidRDefault="003859DC">
      <w:pPr>
        <w:ind w:left="709"/>
        <w:jc w:val="both"/>
        <w:rPr>
          <w:sz w:val="26"/>
          <w:szCs w:val="26"/>
        </w:rPr>
      </w:pPr>
    </w:p>
    <w:p w:rsidR="003859DC" w:rsidRDefault="003859DC">
      <w:pPr>
        <w:ind w:left="5245" w:right="-65"/>
        <w:jc w:val="both"/>
      </w:pPr>
    </w:p>
    <w:p w:rsidR="003859DC" w:rsidRDefault="003859DC">
      <w:pPr>
        <w:jc w:val="center"/>
      </w:pPr>
    </w:p>
    <w:p w:rsidR="00941E84" w:rsidRDefault="00941E84">
      <w:pPr>
        <w:jc w:val="center"/>
        <w:rPr>
          <w:sz w:val="28"/>
        </w:rPr>
      </w:pPr>
    </w:p>
    <w:sectPr w:rsidR="00941E84" w:rsidSect="00B7546B">
      <w:pgSz w:w="16838" w:h="11906" w:orient="landscape"/>
      <w:pgMar w:top="1701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01"/>
    <w:rsid w:val="000D7DAB"/>
    <w:rsid w:val="000E6DEF"/>
    <w:rsid w:val="001D656D"/>
    <w:rsid w:val="002634A4"/>
    <w:rsid w:val="002758C6"/>
    <w:rsid w:val="002B5CD6"/>
    <w:rsid w:val="002C7A62"/>
    <w:rsid w:val="00351C44"/>
    <w:rsid w:val="003859DC"/>
    <w:rsid w:val="003D3AD2"/>
    <w:rsid w:val="004271AC"/>
    <w:rsid w:val="0052659F"/>
    <w:rsid w:val="00606AE8"/>
    <w:rsid w:val="006874F6"/>
    <w:rsid w:val="0089425A"/>
    <w:rsid w:val="008B5C28"/>
    <w:rsid w:val="008D7D0E"/>
    <w:rsid w:val="00905B1F"/>
    <w:rsid w:val="0092340D"/>
    <w:rsid w:val="00941E84"/>
    <w:rsid w:val="009906E6"/>
    <w:rsid w:val="00A06124"/>
    <w:rsid w:val="00A93272"/>
    <w:rsid w:val="00AF2301"/>
    <w:rsid w:val="00B7546B"/>
    <w:rsid w:val="00B77300"/>
    <w:rsid w:val="00BE2253"/>
    <w:rsid w:val="00BE44A8"/>
    <w:rsid w:val="00C478B4"/>
    <w:rsid w:val="00C821FD"/>
    <w:rsid w:val="00CA15D7"/>
    <w:rsid w:val="00E11F20"/>
    <w:rsid w:val="00F46303"/>
    <w:rsid w:val="00F93295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8CC922-A34E-42ED-AE4F-1EDE1E2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pple-style-span">
    <w:name w:val="apple-style-span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color w:val="000000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D7D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D7DA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№  1  о/д</vt:lpstr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№  1  о/д</dc:title>
  <dc:subject/>
  <dc:creator>k49-1</dc:creator>
  <cp:keywords/>
  <cp:lastModifiedBy>Админ</cp:lastModifiedBy>
  <cp:revision>6</cp:revision>
  <cp:lastPrinted>2024-01-19T12:54:00Z</cp:lastPrinted>
  <dcterms:created xsi:type="dcterms:W3CDTF">2024-08-27T08:32:00Z</dcterms:created>
  <dcterms:modified xsi:type="dcterms:W3CDTF">2024-08-27T14:09:00Z</dcterms:modified>
</cp:coreProperties>
</file>