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7D38DC">
              <w:rPr>
                <w:rFonts w:ascii="Times New Roman" w:hAnsi="Times New Roman" w:cs="Times New Roman"/>
                <w:sz w:val="20"/>
                <w:szCs w:val="20"/>
              </w:rPr>
              <w:t>7</w:t>
            </w:r>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w:t>
            </w:r>
            <w:proofErr w:type="gramStart"/>
            <w:r w:rsidRPr="00631A39">
              <w:rPr>
                <w:rFonts w:ascii="Times New Roman" w:hAnsi="Times New Roman" w:cs="Times New Roman"/>
                <w:sz w:val="20"/>
                <w:szCs w:val="20"/>
              </w:rPr>
              <w:t>муниципальным</w:t>
            </w:r>
            <w:proofErr w:type="gramEnd"/>
            <w:r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3301AC">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3301AC">
              <w:rPr>
                <w:rFonts w:ascii="Times New Roman" w:hAnsi="Times New Roman" w:cs="Times New Roman"/>
                <w:sz w:val="20"/>
                <w:szCs w:val="20"/>
                <w:lang w:val="en-US"/>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3301AC">
            <w:pPr>
              <w:widowControl w:val="0"/>
              <w:autoSpaceDE w:val="0"/>
              <w:autoSpaceDN w:val="0"/>
              <w:adjustRightInd w:val="0"/>
              <w:spacing w:after="0" w:line="240" w:lineRule="auto"/>
              <w:jc w:val="center"/>
              <w:rPr>
                <w:rFonts w:ascii="Times New Roman" w:hAnsi="Times New Roman"/>
              </w:rPr>
            </w:pPr>
            <w:r w:rsidRPr="00336C23">
              <w:rPr>
                <w:rFonts w:ascii="Times New Roman" w:hAnsi="Times New Roman"/>
              </w:rPr>
              <w:t>«_____</w:t>
            </w:r>
            <w:r w:rsidR="00714DAC">
              <w:rPr>
                <w:rFonts w:ascii="Times New Roman" w:hAnsi="Times New Roman"/>
              </w:rPr>
              <w:t>____» «___________________» 202</w:t>
            </w:r>
            <w:r w:rsidR="003301AC">
              <w:rPr>
                <w:rFonts w:ascii="Times New Roman" w:hAnsi="Times New Roman"/>
                <w:lang w:val="en-US"/>
              </w:rPr>
              <w:t>4</w:t>
            </w:r>
            <w:r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C61A83">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C61A83">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C14BFF">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C14BFF">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C14BFF">
              <w:rPr>
                <w:rFonts w:ascii="Times New Roman" w:hAnsi="Times New Roman" w:cs="Times New Roman"/>
                <w:b/>
                <w:sz w:val="28"/>
                <w:szCs w:val="28"/>
              </w:rPr>
              <w:t>5</w:t>
            </w:r>
            <w:r>
              <w:rPr>
                <w:rFonts w:ascii="Times New Roman" w:hAnsi="Times New Roman" w:cs="Times New Roman"/>
                <w:b/>
                <w:sz w:val="28"/>
                <w:szCs w:val="28"/>
              </w:rPr>
              <w:t xml:space="preserve"> и 202</w:t>
            </w:r>
            <w:r w:rsidR="00C14BFF">
              <w:rPr>
                <w:rFonts w:ascii="Times New Roman" w:hAnsi="Times New Roman" w:cs="Times New Roman"/>
                <w:b/>
                <w:sz w:val="28"/>
                <w:szCs w:val="28"/>
              </w:rPr>
              <w:t>6</w:t>
            </w:r>
            <w:bookmarkStart w:id="0" w:name="_GoBack"/>
            <w:bookmarkEnd w:id="0"/>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C61A83"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B47978">
              <w:rPr>
                <w:rFonts w:ascii="Times New Roman" w:hAnsi="Times New Roman" w:cs="Times New Roman"/>
                <w:sz w:val="24"/>
                <w:szCs w:val="24"/>
                <w:u w:val="single"/>
              </w:rPr>
              <w:t>джетное  учреждение   «</w:t>
            </w:r>
            <w:proofErr w:type="spellStart"/>
            <w:r w:rsidR="00B47978">
              <w:rPr>
                <w:rFonts w:ascii="Times New Roman" w:hAnsi="Times New Roman" w:cs="Times New Roman"/>
                <w:sz w:val="24"/>
                <w:szCs w:val="24"/>
                <w:u w:val="single"/>
              </w:rPr>
              <w:t>Кубенский</w:t>
            </w:r>
            <w:proofErr w:type="spellEnd"/>
            <w:r w:rsidR="00B47978">
              <w:rPr>
                <w:rFonts w:ascii="Times New Roman" w:hAnsi="Times New Roman" w:cs="Times New Roman"/>
                <w:sz w:val="24"/>
                <w:szCs w:val="24"/>
                <w:u w:val="single"/>
              </w:rPr>
              <w:t xml:space="preserve"> </w:t>
            </w:r>
            <w:r w:rsidR="00FD085B">
              <w:rPr>
                <w:rFonts w:ascii="Times New Roman" w:hAnsi="Times New Roman" w:cs="Times New Roman"/>
                <w:sz w:val="24"/>
                <w:szCs w:val="24"/>
                <w:u w:val="single"/>
              </w:rPr>
              <w:t>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FD085B" w:rsidRDefault="00631A39" w:rsidP="00631A39">
            <w:pPr>
              <w:pStyle w:val="ConsPlusNonformat"/>
              <w:spacing w:after="200" w:line="276" w:lineRule="auto"/>
              <w:rPr>
                <w:rFonts w:ascii="Times New Roman" w:hAnsi="Times New Roman" w:cs="Times New Roman"/>
                <w:b/>
                <w:sz w:val="24"/>
                <w:szCs w:val="24"/>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FD085B" w:rsidRPr="00FD085B">
              <w:rPr>
                <w:rFonts w:ascii="Times New Roman" w:hAnsi="Times New Roman" w:cs="Times New Roman"/>
                <w:sz w:val="24"/>
                <w:szCs w:val="24"/>
                <w:u w:val="single"/>
              </w:rPr>
              <w:t>Деятельность учреждений клубного типа: клубов, дворцов и домов культуры, домов народного творчества</w:t>
            </w:r>
            <w:r w:rsidR="00FD085B" w:rsidRPr="00FD085B">
              <w:rPr>
                <w:rFonts w:ascii="Times New Roman" w:hAnsi="Times New Roman" w:cs="Times New Roman"/>
                <w:b/>
                <w:sz w:val="24"/>
                <w:szCs w:val="24"/>
              </w:rPr>
              <w:t>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D085B"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90.04.3</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3301AC">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3301AC">
              <w:rPr>
                <w:rFonts w:ascii="Times New Roman" w:hAnsi="Times New Roman" w:cs="Times New Roman"/>
                <w:sz w:val="16"/>
                <w:szCs w:val="16"/>
                <w:lang w:val="en-US"/>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3301AC">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3301AC">
              <w:rPr>
                <w:rFonts w:ascii="Times New Roman" w:hAnsi="Times New Roman" w:cs="Times New Roman"/>
                <w:sz w:val="16"/>
                <w:szCs w:val="16"/>
                <w:lang w:val="en-US"/>
              </w:rPr>
              <w:t xml:space="preserve">5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3301AC">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3301AC">
              <w:rPr>
                <w:rFonts w:ascii="Times New Roman" w:hAnsi="Times New Roman" w:cs="Times New Roman"/>
                <w:sz w:val="16"/>
                <w:szCs w:val="16"/>
                <w:lang w:val="en-US"/>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 xml:space="preserve">ование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 xml:space="preserve">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4F7493">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4F7493">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4F7493">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4F7493">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4F7493">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B47978"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690</w:t>
            </w:r>
          </w:p>
        </w:tc>
        <w:tc>
          <w:tcPr>
            <w:tcW w:w="733" w:type="dxa"/>
            <w:shd w:val="clear" w:color="auto" w:fill="auto"/>
          </w:tcPr>
          <w:p w:rsidR="00FD085B" w:rsidRPr="000762A8" w:rsidRDefault="00B47978"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690</w:t>
            </w:r>
          </w:p>
        </w:tc>
        <w:tc>
          <w:tcPr>
            <w:tcW w:w="733" w:type="dxa"/>
            <w:shd w:val="clear" w:color="auto" w:fill="auto"/>
          </w:tcPr>
          <w:p w:rsidR="00FD085B" w:rsidRPr="000762A8" w:rsidRDefault="00B47978" w:rsidP="00FD08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690</w:t>
            </w:r>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w:t>
            </w:r>
            <w:r w:rsidR="004F7493">
              <w:rPr>
                <w:rFonts w:ascii="Times New Roman" w:hAnsi="Times New Roman" w:cs="Times New Roman"/>
                <w:sz w:val="16"/>
                <w:szCs w:val="16"/>
              </w:rPr>
              <w:t>25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w:t>
            </w:r>
            <w:r w:rsidR="004F7493">
              <w:rPr>
                <w:rFonts w:ascii="Times New Roman" w:hAnsi="Times New Roman" w:cs="Times New Roman"/>
                <w:sz w:val="16"/>
                <w:szCs w:val="16"/>
              </w:rPr>
              <w:t>24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4F7493"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4F7493"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2F660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949916.P.39.1.0100</w:t>
            </w:r>
            <w:r w:rsidR="000762A8" w:rsidRPr="000762A8">
              <w:rPr>
                <w:rFonts w:ascii="Times New Roman" w:hAnsi="Times New Roman" w:cs="Times New Roman"/>
                <w:sz w:val="16"/>
                <w:szCs w:val="16"/>
              </w:rPr>
              <w:t>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B4797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4590</w:t>
            </w:r>
          </w:p>
        </w:tc>
        <w:tc>
          <w:tcPr>
            <w:tcW w:w="733" w:type="dxa"/>
            <w:shd w:val="clear" w:color="auto" w:fill="auto"/>
          </w:tcPr>
          <w:p w:rsidR="00114619" w:rsidRPr="000762A8" w:rsidRDefault="00B47978"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4590</w:t>
            </w:r>
          </w:p>
        </w:tc>
        <w:tc>
          <w:tcPr>
            <w:tcW w:w="733" w:type="dxa"/>
            <w:shd w:val="clear" w:color="auto" w:fill="auto"/>
          </w:tcPr>
          <w:p w:rsidR="00114619" w:rsidRPr="000762A8" w:rsidRDefault="00B47978"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4590</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lastRenderedPageBreak/>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w:t>
            </w:r>
            <w:r w:rsidR="004F7493">
              <w:rPr>
                <w:rFonts w:ascii="Times New Roman" w:hAnsi="Times New Roman" w:cs="Times New Roman"/>
                <w:sz w:val="16"/>
                <w:szCs w:val="16"/>
              </w:rPr>
              <w:t>26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4F7493">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4F7493">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4F7493">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4F7493">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900410.Р.39.1.00900002000</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 xml:space="preserve">Организация деятельности клубных </w:t>
            </w:r>
            <w:r w:rsidRPr="002F6605">
              <w:rPr>
                <w:rFonts w:ascii="Times New Roman" w:hAnsi="Times New Roman" w:cs="Times New Roman"/>
                <w:sz w:val="18"/>
                <w:szCs w:val="18"/>
              </w:rPr>
              <w:lastRenderedPageBreak/>
              <w:t>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8C1654" w:rsidP="00B4797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54</w:t>
            </w:r>
            <w:r w:rsidR="003F4557">
              <w:rPr>
                <w:rFonts w:ascii="Times New Roman" w:hAnsi="Times New Roman"/>
                <w:color w:val="000000"/>
                <w:sz w:val="16"/>
                <w:szCs w:val="16"/>
              </w:rPr>
              <w:t>7</w:t>
            </w:r>
          </w:p>
        </w:tc>
        <w:tc>
          <w:tcPr>
            <w:tcW w:w="733" w:type="dxa"/>
            <w:shd w:val="clear" w:color="auto" w:fill="auto"/>
          </w:tcPr>
          <w:p w:rsidR="003F4557" w:rsidRDefault="008C1654" w:rsidP="00B4797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54</w:t>
            </w:r>
            <w:r w:rsidR="003F4557">
              <w:rPr>
                <w:rFonts w:ascii="Times New Roman" w:hAnsi="Times New Roman"/>
                <w:color w:val="000000"/>
                <w:sz w:val="16"/>
                <w:szCs w:val="16"/>
              </w:rPr>
              <w:t>7</w:t>
            </w:r>
          </w:p>
        </w:tc>
        <w:tc>
          <w:tcPr>
            <w:tcW w:w="733" w:type="dxa"/>
            <w:shd w:val="clear" w:color="auto" w:fill="auto"/>
          </w:tcPr>
          <w:p w:rsidR="003F4557" w:rsidRDefault="008C1654"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54</w:t>
            </w:r>
            <w:r w:rsidR="003F4557">
              <w:rPr>
                <w:rFonts w:ascii="Times New Roman" w:hAnsi="Times New Roman"/>
                <w:sz w:val="16"/>
                <w:szCs w:val="16"/>
              </w:rPr>
              <w:t>7</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 xml:space="preserve">Администрация Харовского муниципального округа, главный распорядитель бюджетных средств Управление культуры, спорта, туризма </w:t>
            </w:r>
            <w:r w:rsidRPr="00EE438A">
              <w:rPr>
                <w:rFonts w:ascii="Times New Roman" w:hAnsi="Times New Roman"/>
                <w:sz w:val="18"/>
                <w:szCs w:val="18"/>
              </w:rPr>
              <w:lastRenderedPageBreak/>
              <w:t>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98" w:rsidRDefault="00693898" w:rsidP="00D605AA">
      <w:pPr>
        <w:spacing w:after="0" w:line="240" w:lineRule="auto"/>
      </w:pPr>
      <w:r>
        <w:separator/>
      </w:r>
    </w:p>
  </w:endnote>
  <w:endnote w:type="continuationSeparator" w:id="0">
    <w:p w:rsidR="00693898" w:rsidRDefault="00693898"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98" w:rsidRDefault="00693898" w:rsidP="00D605AA">
      <w:pPr>
        <w:spacing w:after="0" w:line="240" w:lineRule="auto"/>
      </w:pPr>
      <w:r>
        <w:separator/>
      </w:r>
    </w:p>
  </w:footnote>
  <w:footnote w:type="continuationSeparator" w:id="0">
    <w:p w:rsidR="00693898" w:rsidRDefault="00693898"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3301AC" w:rsidRDefault="003301AC">
        <w:pPr>
          <w:pStyle w:val="a7"/>
          <w:jc w:val="right"/>
        </w:pPr>
        <w:r>
          <w:fldChar w:fldCharType="begin"/>
        </w:r>
        <w:r>
          <w:instrText xml:space="preserve"> PAGE   \* MERGEFORMAT </w:instrText>
        </w:r>
        <w:r>
          <w:fldChar w:fldCharType="separate"/>
        </w:r>
        <w:r w:rsidR="00C14BFF">
          <w:rPr>
            <w:noProof/>
          </w:rPr>
          <w:t>6</w:t>
        </w:r>
        <w:r>
          <w:rPr>
            <w:noProof/>
          </w:rPr>
          <w:fldChar w:fldCharType="end"/>
        </w:r>
      </w:p>
    </w:sdtContent>
  </w:sdt>
  <w:p w:rsidR="003301AC" w:rsidRDefault="003301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77CD"/>
    <w:rsid w:val="00095EDC"/>
    <w:rsid w:val="001067C4"/>
    <w:rsid w:val="00114619"/>
    <w:rsid w:val="00126F01"/>
    <w:rsid w:val="00182DBB"/>
    <w:rsid w:val="00182E08"/>
    <w:rsid w:val="001B3E26"/>
    <w:rsid w:val="001D1997"/>
    <w:rsid w:val="001D3C1C"/>
    <w:rsid w:val="001E4407"/>
    <w:rsid w:val="001E62A7"/>
    <w:rsid w:val="00204698"/>
    <w:rsid w:val="00241BDB"/>
    <w:rsid w:val="002C78DA"/>
    <w:rsid w:val="002F6605"/>
    <w:rsid w:val="00310AD0"/>
    <w:rsid w:val="0032154A"/>
    <w:rsid w:val="003301AC"/>
    <w:rsid w:val="0034348F"/>
    <w:rsid w:val="00347E96"/>
    <w:rsid w:val="003B216E"/>
    <w:rsid w:val="003C2536"/>
    <w:rsid w:val="003E63EA"/>
    <w:rsid w:val="003F074F"/>
    <w:rsid w:val="003F4557"/>
    <w:rsid w:val="004678BA"/>
    <w:rsid w:val="004F7493"/>
    <w:rsid w:val="00530627"/>
    <w:rsid w:val="00534240"/>
    <w:rsid w:val="0054519B"/>
    <w:rsid w:val="005510C7"/>
    <w:rsid w:val="00552479"/>
    <w:rsid w:val="005726DB"/>
    <w:rsid w:val="00575709"/>
    <w:rsid w:val="00585D29"/>
    <w:rsid w:val="005B4E3C"/>
    <w:rsid w:val="005E084A"/>
    <w:rsid w:val="0061255C"/>
    <w:rsid w:val="00621F58"/>
    <w:rsid w:val="006244E5"/>
    <w:rsid w:val="00631A39"/>
    <w:rsid w:val="00693898"/>
    <w:rsid w:val="0069454D"/>
    <w:rsid w:val="006A0CA0"/>
    <w:rsid w:val="006D4686"/>
    <w:rsid w:val="006E225E"/>
    <w:rsid w:val="00714DAC"/>
    <w:rsid w:val="00722D08"/>
    <w:rsid w:val="007342F5"/>
    <w:rsid w:val="007552AC"/>
    <w:rsid w:val="00757285"/>
    <w:rsid w:val="00765F0E"/>
    <w:rsid w:val="007B48BD"/>
    <w:rsid w:val="007D38DC"/>
    <w:rsid w:val="0080539D"/>
    <w:rsid w:val="008324DC"/>
    <w:rsid w:val="00835FA2"/>
    <w:rsid w:val="00841ABE"/>
    <w:rsid w:val="008546C9"/>
    <w:rsid w:val="00876601"/>
    <w:rsid w:val="008C1654"/>
    <w:rsid w:val="008C2709"/>
    <w:rsid w:val="00914E60"/>
    <w:rsid w:val="009175E3"/>
    <w:rsid w:val="00982E3A"/>
    <w:rsid w:val="00985EAE"/>
    <w:rsid w:val="009B060E"/>
    <w:rsid w:val="00A54E22"/>
    <w:rsid w:val="00A703FD"/>
    <w:rsid w:val="00AC7D24"/>
    <w:rsid w:val="00AE256A"/>
    <w:rsid w:val="00AE4FE7"/>
    <w:rsid w:val="00B03047"/>
    <w:rsid w:val="00B17EBB"/>
    <w:rsid w:val="00B47978"/>
    <w:rsid w:val="00B64CFB"/>
    <w:rsid w:val="00B92FC2"/>
    <w:rsid w:val="00BA44F3"/>
    <w:rsid w:val="00BB30A4"/>
    <w:rsid w:val="00BB6CC1"/>
    <w:rsid w:val="00BC0A29"/>
    <w:rsid w:val="00BD32CA"/>
    <w:rsid w:val="00BE230D"/>
    <w:rsid w:val="00C0381E"/>
    <w:rsid w:val="00C14BFF"/>
    <w:rsid w:val="00C615FD"/>
    <w:rsid w:val="00C61A83"/>
    <w:rsid w:val="00C80E7A"/>
    <w:rsid w:val="00CA72F4"/>
    <w:rsid w:val="00CB04DA"/>
    <w:rsid w:val="00CE0390"/>
    <w:rsid w:val="00D605AA"/>
    <w:rsid w:val="00D64287"/>
    <w:rsid w:val="00D84EF0"/>
    <w:rsid w:val="00DD449C"/>
    <w:rsid w:val="00DE101B"/>
    <w:rsid w:val="00E04C93"/>
    <w:rsid w:val="00F11AC4"/>
    <w:rsid w:val="00F524E2"/>
    <w:rsid w:val="00F64E4F"/>
    <w:rsid w:val="00F94F65"/>
    <w:rsid w:val="00FD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 w:type="paragraph" w:styleId="ab">
    <w:name w:val="Balloon Text"/>
    <w:basedOn w:val="a"/>
    <w:link w:val="ac"/>
    <w:uiPriority w:val="99"/>
    <w:semiHidden/>
    <w:unhideWhenUsed/>
    <w:rsid w:val="0053062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306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 w:type="paragraph" w:styleId="ab">
    <w:name w:val="Balloon Text"/>
    <w:basedOn w:val="a"/>
    <w:link w:val="ac"/>
    <w:uiPriority w:val="99"/>
    <w:semiHidden/>
    <w:unhideWhenUsed/>
    <w:rsid w:val="0053062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306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A8B31-EBBC-4676-BA14-078EE36C2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1645</Words>
  <Characters>9379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3</cp:revision>
  <cp:lastPrinted>2024-01-10T13:35:00Z</cp:lastPrinted>
  <dcterms:created xsi:type="dcterms:W3CDTF">2024-01-10T13:10:00Z</dcterms:created>
  <dcterms:modified xsi:type="dcterms:W3CDTF">2024-01-10T13:35:00Z</dcterms:modified>
</cp:coreProperties>
</file>