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УТВЕРЖДАЮ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0" w:right="0" w:firstLine="0"/>
              <w:spacing w:before="0" w:after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Начальник Управления гражданской защиты и социальной безопасности Администрации Харовского муниципального округа Вологодской области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0" w:right="0" w:firstLine="0"/>
              <w:spacing w:before="0" w:after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0" w:right="0" w:firstLine="0"/>
              <w:spacing w:before="0" w:after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_________________ Шахов А.Г.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0" w:right="0" w:firstLine="0"/>
              <w:spacing w:before="0" w:after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0" w:right="0" w:firstLine="0"/>
              <w:spacing w:before="0" w:after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ind w:left="0" w:right="0" w:firstLine="709"/>
        <w:jc w:val="center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center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center"/>
        <w:spacing w:before="0" w:after="0"/>
        <w:rPr>
          <w:sz w:val="36"/>
          <w:szCs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  <w:szCs w:val="36"/>
        </w:rPr>
        <w:t xml:space="preserve"> </w:t>
      </w:r>
      <w:r>
        <w:rPr>
          <w:sz w:val="36"/>
          <w:szCs w:val="36"/>
        </w:rPr>
      </w:r>
      <w:r/>
    </w:p>
    <w:p>
      <w:pPr>
        <w:ind w:left="0" w:right="0" w:firstLine="709"/>
        <w:jc w:val="center"/>
        <w:spacing w:before="0" w:after="0"/>
        <w:rPr>
          <w:sz w:val="36"/>
          <w:szCs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  <w:szCs w:val="36"/>
        </w:rPr>
        <w:t xml:space="preserve">ГОДОВОЙ ОТЧЕТ</w:t>
      </w:r>
      <w:r>
        <w:rPr>
          <w:sz w:val="36"/>
          <w:szCs w:val="36"/>
        </w:rPr>
      </w:r>
      <w:r/>
    </w:p>
    <w:p>
      <w:pPr>
        <w:ind w:left="0" w:right="0" w:firstLine="709"/>
        <w:jc w:val="center"/>
        <w:spacing w:before="0" w:after="0"/>
        <w:rPr>
          <w:sz w:val="36"/>
          <w:szCs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  <w:szCs w:val="36"/>
        </w:rPr>
        <w:t xml:space="preserve">за 2023 год</w:t>
      </w:r>
      <w:r>
        <w:rPr>
          <w:sz w:val="36"/>
          <w:szCs w:val="36"/>
        </w:rPr>
      </w:r>
      <w:r/>
    </w:p>
    <w:p>
      <w:pPr>
        <w:ind w:left="0" w:right="0" w:firstLine="709"/>
        <w:jc w:val="center"/>
        <w:spacing w:before="0" w:after="0"/>
        <w:rPr>
          <w:sz w:val="36"/>
          <w:szCs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  <w:szCs w:val="36"/>
        </w:rPr>
        <w:t xml:space="preserve">по муниципальной программе </w:t>
      </w:r>
      <w:r>
        <w:rPr>
          <w:sz w:val="36"/>
          <w:szCs w:val="36"/>
        </w:rPr>
      </w:r>
      <w:r/>
    </w:p>
    <w:p>
      <w:pPr>
        <w:ind w:left="0" w:right="0" w:firstLine="709"/>
        <w:jc w:val="center"/>
        <w:spacing w:before="0" w:after="0"/>
        <w:rPr>
          <w:sz w:val="36"/>
          <w:szCs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  <w:szCs w:val="36"/>
        </w:rPr>
        <w:t xml:space="preserve">«Обеспечение законности, правопорядка  и общественной безопасности </w:t>
      </w:r>
      <w:r>
        <w:rPr>
          <w:sz w:val="36"/>
          <w:szCs w:val="36"/>
        </w:rPr>
      </w:r>
      <w:r/>
    </w:p>
    <w:p>
      <w:pPr>
        <w:ind w:left="0" w:right="0" w:firstLine="709"/>
        <w:jc w:val="center"/>
        <w:spacing w:before="0" w:after="0"/>
        <w:rPr>
          <w:sz w:val="36"/>
          <w:szCs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  <w:szCs w:val="36"/>
        </w:rPr>
        <w:t xml:space="preserve">в Харовском муниципальном округе </w:t>
      </w:r>
      <w:r>
        <w:rPr>
          <w:sz w:val="36"/>
          <w:szCs w:val="36"/>
        </w:rPr>
      </w:r>
      <w:r/>
    </w:p>
    <w:p>
      <w:pPr>
        <w:ind w:left="0" w:right="0" w:firstLine="709"/>
        <w:jc w:val="center"/>
        <w:spacing w:before="0" w:after="0"/>
        <w:rPr>
          <w:sz w:val="36"/>
          <w:szCs w:val="3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  <w:szCs w:val="36"/>
        </w:rPr>
        <w:t xml:space="preserve">на 2023-2030 годы»</w:t>
      </w:r>
      <w:r>
        <w:rPr>
          <w:sz w:val="36"/>
          <w:szCs w:val="36"/>
        </w:rPr>
      </w:r>
      <w:r/>
    </w:p>
    <w:p>
      <w:pPr>
        <w:ind w:left="0" w:right="0" w:firstLine="709"/>
        <w:jc w:val="center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Утверждена постановлением Администрации Харовского муниципального округа Вологодской области от 27 января 2023 года №141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Ответственный исполнитель: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Администрация Харовского муниципального округа Вологодской области.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Соисполнители муниципальной программы: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200" w:line="25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Управление образования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Администрации  Харовского муниципального округа; Управление  культуры, спорта,туризма,и молодежной политики Администрации Харовского муниципального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 МО МВД России «Харовский» (по согласованию); БУЗ ВО харовская ЦРБ (по согласованию) КУ ВО «Центр занятости населения Вологодской области» отделение занятости населения по  Хар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овскому муниципальному округу (по согласованию).</w:t>
      </w:r>
      <w:r/>
    </w:p>
    <w:p>
      <w:pPr>
        <w:ind w:left="0" w:right="0" w:firstLine="709"/>
        <w:jc w:val="right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right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right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right"/>
        <w:spacing w:before="0" w:after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right"/>
        <w:spacing w:before="0" w:after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right"/>
        <w:spacing w:before="0" w:after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right"/>
        <w:spacing w:before="0" w:after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right"/>
        <w:spacing w:before="0" w:after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right"/>
        <w:spacing w:before="0" w:after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right"/>
        <w:spacing w:before="0" w:after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Дата составления годового отчета:</w:t>
      </w:r>
      <w:r>
        <w:rPr>
          <w:sz w:val="28"/>
          <w:szCs w:val="28"/>
        </w:rPr>
      </w:r>
      <w:r/>
    </w:p>
    <w:p>
      <w:pPr>
        <w:ind w:left="0" w:right="0" w:firstLine="709"/>
        <w:jc w:val="right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29.02. 2024 года</w:t>
      </w:r>
      <w:r>
        <w:rPr>
          <w:sz w:val="28"/>
          <w:szCs w:val="28"/>
        </w:rPr>
      </w:r>
      <w:r/>
    </w:p>
    <w:p>
      <w:pPr>
        <w:ind w:left="0" w:right="0" w:firstLine="0"/>
        <w:spacing w:before="0" w:after="0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</w:r>
      <w:r/>
    </w:p>
    <w:p>
      <w:pPr>
        <w:ind w:left="0" w:right="0" w:firstLine="0"/>
        <w:spacing w:before="0" w:after="0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ind w:left="0" w:right="0" w:firstLine="709"/>
        <w:jc w:val="center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center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Цели муниципальной программы, достигнутые в 2023 году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Муниципальная программа «Обес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печение законности, правопорядка и общественной безопасности в Харовском муниципальном округе на 2023-2030 годы», разработанная совместно с органами местного самоуправления округа и утверждена постановлением Администрации Харовского муниципального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от 27 января 2023 года № 141 реализуется в сфере безопасности населения округа по нескольким направлениям: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профилактика преступлений и иных правонарушений;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безопасность дорожного движения;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-противодействие незаконному обороту наркотиков, снижение масштабов злоупотребления алкогольной продукцией, профилактика алкоголизма и наркомании;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Реализация мероприятий муниципальной программы в 2023 году была направлена на достижение основной цели – повышение уровня безопасности граждан на территории округа и решение следующих задач:  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повышение результативности профилактики правонарушений;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повышение безопасности дорожного движения;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создание системы эффективных мер и условий, обеспечивающих сокращение уровня потребления псих активных веществ населением округа.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Профилактические мероприятия исполняются соисполнителями программы (субъектами профилактики) в полном объеме. </w:t>
      </w:r>
      <w:r>
        <w:rPr>
          <w:sz w:val="28"/>
          <w:szCs w:val="28"/>
        </w:rPr>
      </w:r>
      <w:r/>
    </w:p>
    <w:p>
      <w:pPr>
        <w:ind w:left="0" w:right="0" w:firstLine="708"/>
        <w:jc w:val="center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8"/>
        <w:jc w:val="center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Объем финансирования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Объем финансирования мероприятий муниципальной программы в 2023 году-798,6 тыс. рублей, в том числе бюджет округа 698,3 тыс. руб. областного бюджета 100,3 тыс. рублей. Освоено 798,6 тыс. рублей. В муниципальную программу включены следующие подпрог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раммы. 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  <w:t xml:space="preserve">Подпрограмма №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«Профилактика преступлений и иных правонарушений»: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Объем финансирования -563,9 тыс. рублей, в том числе бюджет округа - 463,6 тыс. руб., областной бюджет - 100,3 тыс. рублей. Израсходовано - 563,9 тыс. руб., бюджет округа – 463,6 тыс. руб., областной бюджет - 100,3 тыс. руб. 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  <w:t xml:space="preserve">Подпрограмма     №      2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«Безопасность дорожного движения»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Объем финансирования – 210,0 тыс. руб., бюджет округа. 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  <w:t xml:space="preserve">Подпрограмма № 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«Противодействие незаконному обороту наркотиков, снижение масштабов злоупотребления алкогольной продукцией, профилактика алкоголизма и наркомании» 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Объем финансирования – 24,7 тыс. руб., бюджет округа.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Основные результаты, достигнутые в 2023 году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Не допущено роста тяжких и особо-тяжких преступлений 2023-37, 2022-37, с 2 до 1 снижение причинения тяжкого вреда здоровью, с 29 до 24 снижение преступлений в общественных местах (-17%) на улицах (-19% с 21 до 17) 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краж (- 21% с 62 до 49).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         Выявлено 3 преступления в сфере незаконного оборота наркотиков 2022-4.  Снизилось число преступлений, совершенных лицами в состоянии опьянения (-2,9% с 34 до 33), ранее совершавш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ими преступления (-2,5% с 80 до 78), ранее судимыми (-13,6% с 44 до 38) не работающими (-15% с 86 до 73 ).</w:t>
        <w:tab/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Так же принимались меры, направленные на обеспечение безопасности дорожного движения.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итогам 2023 года отмечается снижение числа дорожно-тра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нспортных происшествий на -22,7%, (с 22 до 17), число погибших в них граждан 4  2022г.-4 , снижение числа раненых в ДТП     - 19,4% (с 31 до 25) вместе с тем ДТП с участием детей увеличилось на 100% с 3 до 6, количество раненых детей увеличилось с 3 до 9. 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Результаты реализации основных мероприятий в разрезе подпрограмм муниципальной программы. 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rFonts w:ascii="Times New Roman" w:hAnsi="Times New Roman" w:eastAsia="Times New Roman" w:cs="Times New Roman"/>
          <w:color w:val="0070c0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Основные мероприятия подпрограмм муниципальной программы, предусмотренные к реализации в 2023 году, были выполнены. </w:t>
      </w:r>
      <w:r>
        <w:rPr>
          <w:rFonts w:ascii="Times New Roman" w:hAnsi="Times New Roman" w:eastAsia="Times New Roman" w:cs="Times New Roman"/>
          <w:color w:val="0070c0"/>
          <w:sz w:val="28"/>
          <w:szCs w:val="28"/>
        </w:rPr>
        <w:t xml:space="preserve">                         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70c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Подпрограмма 1 «Профилактика преступлений и иных правонарушений». </w:t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Харовском му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ниципальном округе 7 школ, обучающихся детей-1214.В целях формирования законопослушного поведения несовершеннолетних во всех общеобразовательных организациях согласно учебному плану реализуются основные образовательные программы по обществознанию, истокам,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ОБЖ. Образовательные организации реализуют элективные курсы, направленные на формирование законопослушного поведения несовершеннолетних: «Основы правовых знаний», «Роль права в жизни человека», «Права ребенка» объединения «Я-лидер», «Общество и я», «Моя 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алая Родина» «Краеведы», «Литературное краеведение», «Школьный музей», «Твой выбор», «Юные волонтеры», «Учимся общению», «Право», «Правила дорожного движения», «Юные инспекторы дорожного движения», «Мой безопасный мир» и др. Особое внимание при организации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воспитательной работы в образовательных учреждениях уделяется гражданско-патриотическому воспитанию. В МБОУ ДО «Харовский центр дополнительного образования» реализуется дополнительная образовательная программа «Юнармеец». Основы военного дела являются баз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овой частью программы начальной военной подготовки.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 Трудоустройство несовершеннолетних. Численность подростков в возрасте от 14 до 18 лет на территории округа – 688 человека. В районе реализуется программа «Организация временного трудоустройства несовершеннолетних граждан в возрасте от 14 до 18 лет в своб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одное от учебы время».На территории  Харовского муниципального округа предусмотрено увеличение средств местного бюджета на организацию временного трудоустройства несовершеннолетних граждан на 2023 год  из расчета минимального размера оплаты труда, установл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енного на 2023 год, выделено 277,2  тысячи рублей.(2022-153,2)</w:t>
      </w:r>
      <w:r>
        <w:rPr>
          <w:sz w:val="28"/>
          <w:szCs w:val="28"/>
        </w:rPr>
      </w:r>
      <w:r/>
    </w:p>
    <w:p>
      <w:pPr>
        <w:ind w:left="0" w:right="0" w:firstLine="708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 В рамках муниципальной программы «Обеспечение законности правопорядка и общественной безопасности на территории Харовского муниципального округа на 2023-2030 годы» на трудоустройство несовершеннолетних выделено 79,8 тысячи рублей.(2022-42,2). За счет сре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дств работодателей создано 23 временн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ых рабочих мест, израсходовано 355,7 тысяч рублей.(2022-18,1) Обеспечен уровень трудоустройства несовершеннолетних не ниже уровня прошлого года в 2023 году трудоустроено -77 несовершеннолетних, 2022г.-70. Всего на трудо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устройство несовершеннолетних израсходовано 2023 г.-533,2 тыс. рублей, 2022 г.- 285,0 тыс. рублей.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          Основное мероприятие 1.4. Внедрение современных технических средств, направленных на предупреждение правонарушений и преступлений в общественных местах и на улицах ( внедрение и/или эксплуатации аппаратно-программного комплекса «Безопасный город»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)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    </w:t>
      </w:r>
      <w:r>
        <w:rPr>
          <w:rFonts w:ascii="Calibri" w:hAnsi="Calibri" w:eastAsia="Calibri" w:cs="Calibri"/>
          <w:color w:val="000000"/>
          <w:sz w:val="28"/>
          <w:szCs w:val="28"/>
        </w:rPr>
        <w:t xml:space="preserve">    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соответствии с Соглашением между администрацией Харовского муниципального района и Комитетом гражданской защиты и социальной безопасности Вологодской области  в 2023 году в рамках реализации основного мероприятия 1.4 «Внедрение современных технических ср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едств, направленных на предупреждение правонарушений и преступлений в общественных местах и на улицах» подпрограммы «Профилактика преступлений и иных правонарушений» муниципальной  программы была предоставлена субсидия из областного бюджета на внедрение и/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или эксплуатацию АПК «Безопасный гор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од» в размере 100,3 тыс. рублей. Объем со финансирования данных мероприятий из средств районного бюджета составил 5,3 тыс. руб., дополнительно на реализацию мероприятий из районного бюджета выделено 112,6 тыс. руб. Дополнительно установлено 2 видеокамеры. 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       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Подпрограмма 2 «Безопасность дорожного движения». 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       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рамках реализации основного мероприятия 1.2. «Предупреждение опасного поведения участников дорожного движения путем организации и проведения профилактических мероприятий и их информационно-пропагандистское сопровождение» субъектами профилактики (соисполн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ителями МП: учреждениями образования, МО МВД России «Харовский», учреждениями культуры района) были использованы следующие формы работы: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конкурсы, представляющие общественный интерес, направленные на профилактику безопасности дорожного движения, культуру поведения на дорогах;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создание (изготовление) наглядных агитационных материалов для проведения информационно-пропагандистской работы, направленной на снижение аварийности, смертности и травматизма на дорогах;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участие в областных тематических, информационно-пропагандистских и профилактических мероприятиях, фестивалях, соревнованиях, конкурсах, выставках с несовершеннолетними участниками дорожного движения, в том числе с юными инспекторами дорожного движения; 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контроль за использованием свет возвращающих приспособлений в среде дошкольников и учащихся младших классов образовательных учреждений; 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тематические занятия, конкурсы, ролевые игры для воспитанников дошкольных образовательных учреждений, направленные на обучение правилам дорожного движения, безопасному поведению на улице;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беседы, книжные выставки по профилактике безопасности дорожного движения в учреждениях культуры района;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  <w:highlight w:val="none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      Во всех образовательных организациях округа сформированы паспорта безопасности, в которых определены безопасные пешеходные маршруты обучающихся и воспитанников из дома в школу, учреждения.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sz w:val="28"/>
          <w:szCs w:val="28"/>
          <w:highlight w:val="none"/>
        </w:rPr>
        <w:t xml:space="preserve">Финансирование составило 210,0 тысяч рублей</w:t>
      </w:r>
      <w:r>
        <w:rPr>
          <w:sz w:val="28"/>
          <w:szCs w:val="28"/>
          <w:highlight w:val="none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     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Подпрограмма 3 «Противодействие незаконному обороту наркотиков, снижение масштабов злоупотребления алкогольной продукцией, профилактика алкоголизма и наркомании».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        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В 2023 году выявлено 3 преступления  в сфере незаконного оборота наркотиков.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      Основное мероприятие 1.1. подпрограммы 3 «Профилактика незаконного оборота наркотиков, зависимости от псих активных веществ, снижение масштабов злоупотребления алкогольной продукцией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территории района реализовывалось через: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организацию и проведение районных спортивных соревнований;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b w:val="0"/>
          <w:bCs w:val="0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-организацию и проведение учреждениями культуры района тематических мероприятий по противодействию наркомании и профилактике злоупотребления алкогольной продукцией;</w:t>
      </w:r>
      <w:r>
        <w:rPr>
          <w:b w:val="0"/>
          <w:bCs w:val="0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-публикацию и распространение информационно-методических материалов (брошюры, буклеты, памятки) о негативных последствиях немедицинского потребления наркотиков и об ответственности за участие в их незаконном обороте (специалисты БУ СО ВО «КЦСОН Харовского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округа» 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b w:val="0"/>
          <w:bCs w:val="0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организацию и проведение комплекса мероприятий, приуроченных к Международному дню борьбы с наркоманией и незаконному обороту наркотиков и Международному дню борьбы со СПИДом.</w:t>
      </w:r>
      <w:r>
        <w:rPr>
          <w:b w:val="0"/>
          <w:bCs w:val="0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мониторинг сети интернет с целью выявления сайтов и лиц, осуществляющих пропаганду изготовления, распространения и употребления наркотических средств.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проверки мест концентрации молодежи на предмет выявления лиц, употребляющих наркотические средства и психотропные вещества.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образовательных организациях ведется системная антинаркотическая пропаганда. В образовательных учреждениях имеется база информационной, методической и художественной литературы для проведения профилактических мероприятий с обучающимися. Для родителей (за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конных представителей) обучающихся систематически проводятся </w:t>
      </w:r>
      <w:r>
        <w:rPr>
          <w:rFonts w:ascii="Times New Roman" w:hAnsi="Times New Roman" w:eastAsia="Times New Roman" w:cs="Times New Roman"/>
          <w:color w:val="000000"/>
          <w:spacing w:val="-20"/>
          <w:sz w:val="28"/>
          <w:szCs w:val="28"/>
        </w:rPr>
        <w:t xml:space="preserve">родительские собрания по предупреждению вовлечения несовершеннолетних к распространению ПАВ. </w:t>
      </w:r>
      <w:r>
        <w:rPr>
          <w:sz w:val="28"/>
          <w:szCs w:val="28"/>
        </w:rPr>
      </w:r>
      <w:r/>
    </w:p>
    <w:p>
      <w:pPr>
        <w:ind w:left="0" w:right="0" w:firstLine="720"/>
        <w:jc w:val="both"/>
        <w:spacing w:before="0" w:after="200" w:line="25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общеобразовательных организациях Харовского муниципального округа организовано проведение информационно – коммуникационной кампании для педагогических работников, обучающихся и их родителей (законных представителей) в целях повышения активности участия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снижения количества отказов от прохождения социально – психологического тестирования. В общеобразовательных организациях Харовского муниципального округа обеспечено проведение социально – психологического тестирования обучающихся в соответствии с Порядком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организациях», утвержденным приказом Министерства просвещения Российской Федерации от 20 февраля 2020 г. № 59, и в сроки,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установленные календарным планом проведения социально – психологического тестирования лиц.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Проведен ряд мероприятий, направленный на профилактику алкоголизма и наркомании совмест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 с молодежным парламентом. Учреждения культуры Харовского муниципального округа ведут активное сотрудничество с учреждениями образования, социальной сферы, МБУ "ФСЦ "Север", здравоохранением, МО МВД «Харовский» в целях недопущения потребления наркотическ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их средств и психотропных веществ среди молодёжи допризывного и призывного возраста. Проводится множество совместных мероприятий, в которых в том числе принимают участие подростки, находящиеся в социально-опасном положении. Данная категория подростков прив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лекается к занятиям в кружках, военно-патриотическим сборам, участию в мероприятиях, волонтёрской деятельности.</w:t>
      </w:r>
      <w:r>
        <w:rPr>
          <w:sz w:val="28"/>
          <w:szCs w:val="28"/>
        </w:rPr>
      </w:r>
      <w:r/>
    </w:p>
    <w:p>
      <w:pPr>
        <w:ind w:left="0" w:right="0" w:firstLine="720"/>
        <w:jc w:val="both"/>
        <w:spacing w:before="0" w:after="200" w:line="25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Выявление лиц, злоупотребляющих алкоголем, замеченных в потреблении психоактивных веществ, больных алкоголизмом, нарко- и токсикоманиями в БУЗ ВО «Харовская ЦРБ» идет по следующим каналам:</w:t>
      </w:r>
      <w:r>
        <w:rPr>
          <w:sz w:val="28"/>
          <w:szCs w:val="28"/>
        </w:rPr>
      </w:r>
      <w:r/>
    </w:p>
    <w:p>
      <w:pPr>
        <w:numPr>
          <w:ilvl w:val="0"/>
          <w:numId w:val="7"/>
        </w:numPr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 обращении родственников и самих больных;</w:t>
      </w:r>
      <w:r>
        <w:rPr>
          <w:sz w:val="28"/>
          <w:szCs w:val="28"/>
        </w:rPr>
      </w:r>
      <w:r/>
    </w:p>
    <w:p>
      <w:pPr>
        <w:numPr>
          <w:ilvl w:val="0"/>
          <w:numId w:val="7"/>
        </w:numPr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 консультации больных, находящихся в стационаре ЦРБ;</w:t>
      </w:r>
      <w:r>
        <w:rPr>
          <w:sz w:val="28"/>
          <w:szCs w:val="28"/>
        </w:rPr>
      </w:r>
      <w:r/>
    </w:p>
    <w:p>
      <w:pPr>
        <w:numPr>
          <w:ilvl w:val="0"/>
          <w:numId w:val="7"/>
        </w:numPr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направлению медработников общей лечебной сети, а также скорой помощи;</w:t>
      </w:r>
      <w:r>
        <w:rPr>
          <w:sz w:val="28"/>
          <w:szCs w:val="28"/>
        </w:rPr>
      </w:r>
      <w:r/>
    </w:p>
    <w:p>
      <w:pPr>
        <w:numPr>
          <w:ilvl w:val="0"/>
          <w:numId w:val="7"/>
        </w:numPr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из сообщений комиссии по делам несовершеннолетних;</w:t>
      </w:r>
      <w:r>
        <w:rPr>
          <w:sz w:val="28"/>
          <w:szCs w:val="28"/>
        </w:rPr>
      </w:r>
      <w:r/>
    </w:p>
    <w:p>
      <w:pPr>
        <w:numPr>
          <w:ilvl w:val="0"/>
          <w:numId w:val="7"/>
        </w:numPr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из сообщений МО МВД о лицах, замеченных за употребление психотропных веществ, больных алкоголизмом, а также о лицах, на которых поступили жалобы в связи с употреблением алкоголя</w:t>
      </w:r>
      <w:r>
        <w:rPr>
          <w:sz w:val="28"/>
          <w:szCs w:val="28"/>
        </w:rPr>
      </w:r>
      <w:r/>
    </w:p>
    <w:p>
      <w:pPr>
        <w:numPr>
          <w:ilvl w:val="0"/>
          <w:numId w:val="7"/>
        </w:numPr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направлению организаций по месту работы, учебных заведений. 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Ежегодно БУЗ ВО «Харовская ЦРБ» проводятся медицинские осмотры учащихся для выявления подростков, допускающих немедицинское употребление нарко- и псих активных веществ, осмотры допризывного подросткового контингента.     Проводится обследование психофизиче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ских функций детей дошкольного возраста с целью выявления группы риска. При профилактическом наблюдении несовершеннолетних, склонных к употреблению алкоголя и псих активных веществ проводятся профилактические беседы о последствиях алкоголизации, употреблен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ия ПАВ, наркотиков, курении. 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Выявление лиц, злоупотребляющих алкоголем, замеченных в употреблении псих активных веществ, больных алкоголизмом, нарко и токсикоманиями идет по следующим каналам: при обращении родственников и самих больных; при консультации больных, находящихся в стацион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аре ЦРБ; по направлению медработников общей лечебной сети, а также скорой помощи; из сообщений комиссии по делам несовершеннолетних; из сообщений МО МВД о лицах, замеченных за употребление психотропных веществ, больных алкоголизмом, а также о лицах, на кот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орых поступили жалобы в связи с употреблением алкоголя.</w:t>
      </w:r>
      <w:r>
        <w:rPr>
          <w:sz w:val="28"/>
          <w:szCs w:val="28"/>
        </w:rPr>
      </w:r>
      <w:r/>
    </w:p>
    <w:p>
      <w:pPr>
        <w:ind w:left="0" w:right="0" w:firstLine="709"/>
        <w:jc w:val="center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Расчет общей эффективности муниципальной программы (ЭР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vertAlign w:val="subscript"/>
        </w:rPr>
        <w:t xml:space="preserve">общ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)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Данные для расчета приведены в приложении 1 к настоящему годовому отчету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 xml:space="preserve">Расчет индекса эффективности муниципальной программы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мп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=798,6/798,6=1 – коэффициент освоения средств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ЭР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мп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=((1,1+1,3)/2+(1,3+1,3)/2+(1,3+1,3)/2+(1+1)/2))/3+0,99)/2=0,9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 xml:space="preserve">Расчет индекса эффективности реализации подпрограммы 1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ппм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=563,9/563,9=1 – коэффициент освоения средств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ЭР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ппм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=((0,9+1)/2+(1+0,7)/2+(0,7+1,2)/2+(1,2+1,2)/2+(1,2+1,2)/2+(1,2+0,4)/2))=1,7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 xml:space="preserve">Расчет индекса эффективности реализации подпрограммы 2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ппм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=210,0/210,0=1 – коэффициент освоения средств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ЭР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ппм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=(((1+1)/2+(1+1)/2)(1+1)/2=1</w:t>
      </w:r>
      <w:r>
        <w:rPr>
          <w:sz w:val="28"/>
          <w:szCs w:val="28"/>
        </w:rPr>
        <w:t xml:space="preserve">,5</w:t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 xml:space="preserve">Расчет индекса эффективности реализации подпрограммы 3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ппм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=24,7/24,7=1 – коэффициент освоения средств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ЭР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ппм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=(((1,1+1)/2+(1+0,7)/2+(1+1)/2=0,8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ЭР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vertAlign w:val="subscript"/>
        </w:rPr>
        <w:t xml:space="preserve">общ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=((0,9+(1,7+1,5+1,1)/3)/2=1,4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Общая оценка эффективности реализации муниципальной программы-1,4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tbl>
      <w:tblPr>
        <w:tblStyle w:val="68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309"/>
        <w:gridCol w:w="5244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0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Численное значение интегрального показателя рейтинга в долях единицы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0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0,98 &lt; =ЭР общ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ПРОГРАММА ВЫСОКОЭФФЕКТИВНА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0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0,9 &lt; =ЭР общ &lt; 0,98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ПРОГРАММА ЭФФЕКТИВНА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0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ЭР общ &lt; 0,9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ПРОГРАММА НИЗКОЭФФЕКТИВНА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ind w:left="0" w:right="0" w:firstLine="0"/>
        <w:spacing w:before="240" w:after="24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/>
    </w:p>
    <w:p>
      <w:pPr>
        <w:ind w:left="0" w:right="0" w:firstLine="0"/>
        <w:spacing w:before="240" w:after="24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Результат: Программа высокоэффективна</w:t>
      </w:r>
      <w:r>
        <w:rPr>
          <w:sz w:val="28"/>
          <w:szCs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567" w:right="737" w:bottom="567" w:left="158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Wingdings">
    <w:panose1 w:val="05020102010507070707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28"/>
        <w:ind w:left="432" w:hanging="432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828"/>
        <w:ind w:left="576" w:hanging="576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28"/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28"/>
        <w:ind w:left="864" w:hanging="864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28"/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28"/>
        <w:ind w:left="1152" w:hanging="1152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28"/>
        <w:ind w:left="1296" w:hanging="1296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28"/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28"/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8"/>
        <w:ind w:left="735" w:hanging="375"/>
        <w:tabs>
          <w:tab w:val="num" w:pos="735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28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28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28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28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28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28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28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28"/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2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2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2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2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2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2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2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2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2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2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2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2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2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2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2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2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2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28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28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28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28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28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28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28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28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28"/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2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2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2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2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2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2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2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2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28"/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"/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8"/>
    <w:next w:val="828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8"/>
    <w:next w:val="828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8"/>
    <w:next w:val="828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8"/>
    <w:next w:val="828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8"/>
    <w:next w:val="828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8"/>
    <w:next w:val="828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8"/>
    <w:next w:val="828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8"/>
    <w:next w:val="828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8"/>
    <w:next w:val="828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8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8"/>
    <w:next w:val="828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link w:val="670"/>
    <w:uiPriority w:val="10"/>
    <w:rPr>
      <w:sz w:val="48"/>
      <w:szCs w:val="48"/>
    </w:rPr>
  </w:style>
  <w:style w:type="paragraph" w:styleId="672">
    <w:name w:val="Subtitle"/>
    <w:basedOn w:val="828"/>
    <w:next w:val="828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link w:val="672"/>
    <w:uiPriority w:val="11"/>
    <w:rPr>
      <w:sz w:val="24"/>
      <w:szCs w:val="24"/>
    </w:rPr>
  </w:style>
  <w:style w:type="paragraph" w:styleId="674">
    <w:name w:val="Quote"/>
    <w:basedOn w:val="828"/>
    <w:next w:val="828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8"/>
    <w:next w:val="828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8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link w:val="678"/>
    <w:uiPriority w:val="99"/>
  </w:style>
  <w:style w:type="paragraph" w:styleId="680">
    <w:name w:val="Footer"/>
    <w:basedOn w:val="828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link w:val="680"/>
    <w:uiPriority w:val="99"/>
  </w:style>
  <w:style w:type="paragraph" w:styleId="682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next w:val="828"/>
    <w:link w:val="828"/>
    <w:qFormat/>
    <w:rPr>
      <w:sz w:val="24"/>
      <w:szCs w:val="24"/>
      <w:lang w:val="ru-RU" w:eastAsia="ru-RU" w:bidi="ar-SA"/>
    </w:rPr>
  </w:style>
  <w:style w:type="paragraph" w:styleId="829">
    <w:name w:val="Заголовок 1"/>
    <w:basedOn w:val="828"/>
    <w:next w:val="828"/>
    <w:link w:val="828"/>
    <w:qFormat/>
    <w:pPr>
      <w:keepNext/>
      <w:outlineLvl w:val="0"/>
    </w:pPr>
    <w:rPr>
      <w:szCs w:val="20"/>
    </w:rPr>
  </w:style>
  <w:style w:type="paragraph" w:styleId="830">
    <w:name w:val="Заголовок 3"/>
    <w:basedOn w:val="828"/>
    <w:next w:val="828"/>
    <w:link w:val="828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831">
    <w:name w:val="Основной шрифт абзаца"/>
    <w:next w:val="831"/>
    <w:link w:val="828"/>
    <w:semiHidden/>
  </w:style>
  <w:style w:type="table" w:styleId="832">
    <w:name w:val="Обычная таблица"/>
    <w:next w:val="832"/>
    <w:link w:val="828"/>
    <w:semiHidden/>
    <w:tblPr/>
  </w:style>
  <w:style w:type="numbering" w:styleId="833">
    <w:name w:val="Нет списка"/>
    <w:next w:val="833"/>
    <w:link w:val="828"/>
    <w:semiHidden/>
  </w:style>
  <w:style w:type="paragraph" w:styleId="834">
    <w:name w:val="Основной текст"/>
    <w:basedOn w:val="828"/>
    <w:next w:val="834"/>
    <w:link w:val="828"/>
    <w:pPr>
      <w:jc w:val="right"/>
    </w:pPr>
    <w:rPr>
      <w:sz w:val="28"/>
    </w:rPr>
  </w:style>
  <w:style w:type="paragraph" w:styleId="835">
    <w:name w:val="Основной текст 2"/>
    <w:basedOn w:val="828"/>
    <w:next w:val="835"/>
    <w:link w:val="828"/>
    <w:pPr>
      <w:spacing w:after="120" w:line="480" w:lineRule="auto"/>
    </w:pPr>
  </w:style>
  <w:style w:type="paragraph" w:styleId="836">
    <w:name w:val="Обычный (веб),Обычный (Web)1"/>
    <w:basedOn w:val="828"/>
    <w:next w:val="836"/>
    <w:link w:val="828"/>
    <w:pPr>
      <w:jc w:val="both"/>
      <w:spacing w:before="100" w:beforeAutospacing="1" w:after="100" w:afterAutospacing="1"/>
    </w:pPr>
    <w:rPr>
      <w:rFonts w:ascii="Arial" w:hAnsi="Arial" w:cs="Arial"/>
      <w:color w:val="666666"/>
      <w:sz w:val="18"/>
      <w:szCs w:val="18"/>
    </w:rPr>
  </w:style>
  <w:style w:type="table" w:styleId="837">
    <w:name w:val="Сетка таблицы"/>
    <w:basedOn w:val="832"/>
    <w:next w:val="837"/>
    <w:link w:val="828"/>
    <w:uiPriority w:val="59"/>
    <w:tblPr/>
  </w:style>
  <w:style w:type="character" w:styleId="838">
    <w:name w:val="Гиперссылка"/>
    <w:next w:val="838"/>
    <w:link w:val="828"/>
    <w:rPr>
      <w:color w:val="0000ff"/>
      <w:u w:val="single"/>
    </w:rPr>
  </w:style>
  <w:style w:type="character" w:styleId="839">
    <w:name w:val="val"/>
    <w:basedOn w:val="831"/>
    <w:next w:val="839"/>
    <w:link w:val="828"/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Минобразования России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образования</dc:creator>
  <cp:revision>9</cp:revision>
  <dcterms:created xsi:type="dcterms:W3CDTF">2023-03-06T12:00:00Z</dcterms:created>
  <dcterms:modified xsi:type="dcterms:W3CDTF">2024-04-24T10:18:52Z</dcterms:modified>
  <cp:version>917504</cp:version>
</cp:coreProperties>
</file>