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E3" w:rsidRPr="008E0364" w:rsidRDefault="00647AE3" w:rsidP="007949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64">
        <w:rPr>
          <w:rFonts w:ascii="Times New Roman" w:hAnsi="Times New Roman" w:cs="Times New Roman"/>
          <w:b/>
          <w:sz w:val="24"/>
          <w:szCs w:val="24"/>
        </w:rPr>
        <w:t>КОНТРОЛЬНО-СЧЕТНАЯ КОМИССИЯ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64">
        <w:rPr>
          <w:rFonts w:ascii="Times New Roman" w:hAnsi="Times New Roman" w:cs="Times New Roman"/>
          <w:b/>
          <w:sz w:val="24"/>
          <w:szCs w:val="24"/>
        </w:rPr>
        <w:t>ХАРОВСКОГО МУНИЦИПАЛЬНОГО ОКРУГА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64">
        <w:rPr>
          <w:rFonts w:ascii="Times New Roman" w:hAnsi="Times New Roman" w:cs="Times New Roman"/>
          <w:b/>
          <w:sz w:val="24"/>
          <w:szCs w:val="24"/>
        </w:rPr>
        <w:t>ВОЛОГОДСКОЙ ОБЛАСТИ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D0C74" w:rsidRPr="008E0364">
        <w:rPr>
          <w:rFonts w:ascii="Times New Roman" w:hAnsi="Times New Roman" w:cs="Times New Roman"/>
          <w:sz w:val="24"/>
          <w:szCs w:val="24"/>
        </w:rPr>
        <w:t xml:space="preserve"> №9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 xml:space="preserve">на проект решения Муниципального Собрания Харовского муниципального округа Вологодской </w:t>
      </w:r>
      <w:proofErr w:type="gramStart"/>
      <w:r w:rsidRPr="008E0364">
        <w:rPr>
          <w:rFonts w:ascii="Times New Roman" w:hAnsi="Times New Roman" w:cs="Times New Roman"/>
          <w:sz w:val="24"/>
          <w:szCs w:val="24"/>
        </w:rPr>
        <w:t>области  «</w:t>
      </w:r>
      <w:proofErr w:type="gramEnd"/>
      <w:r w:rsidRPr="008E0364">
        <w:rPr>
          <w:rFonts w:ascii="Times New Roman" w:hAnsi="Times New Roman" w:cs="Times New Roman"/>
          <w:sz w:val="24"/>
          <w:szCs w:val="24"/>
        </w:rPr>
        <w:t>О единовременной выплате»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 xml:space="preserve">город Харовск </w:t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="007D0C74" w:rsidRPr="008E036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7D0C74" w:rsidRPr="008E0364">
        <w:rPr>
          <w:rFonts w:ascii="Times New Roman" w:hAnsi="Times New Roman" w:cs="Times New Roman"/>
          <w:sz w:val="24"/>
          <w:szCs w:val="24"/>
        </w:rPr>
        <w:t>21</w:t>
      </w:r>
      <w:r w:rsidRPr="008E0364">
        <w:rPr>
          <w:rFonts w:ascii="Times New Roman" w:hAnsi="Times New Roman" w:cs="Times New Roman"/>
          <w:sz w:val="24"/>
          <w:szCs w:val="24"/>
        </w:rPr>
        <w:t xml:space="preserve">  апреля</w:t>
      </w:r>
      <w:proofErr w:type="gramEnd"/>
      <w:r w:rsidRPr="008E0364">
        <w:rPr>
          <w:rFonts w:ascii="Times New Roman" w:hAnsi="Times New Roman" w:cs="Times New Roman"/>
          <w:sz w:val="24"/>
          <w:szCs w:val="24"/>
        </w:rPr>
        <w:t xml:space="preserve">  2025 года                                                                                                                                                    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364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экспертного заключения</w:t>
      </w:r>
      <w:r w:rsidRPr="008E0364">
        <w:rPr>
          <w:rFonts w:ascii="Times New Roman" w:hAnsi="Times New Roman" w:cs="Times New Roman"/>
          <w:sz w:val="24"/>
          <w:szCs w:val="24"/>
        </w:rPr>
        <w:t>: Экспертиза проекта проведена на основании пункта 7 статьи 8 Положения о контрольно-счетной комиссии Харовского муниципального округа, утвержденного решением Муниципального Собрания Харовского муниципального округа от 07.10.2022 №14, пункта 1.</w:t>
      </w:r>
      <w:r w:rsidR="008E0364" w:rsidRPr="008E0364">
        <w:rPr>
          <w:rFonts w:ascii="Times New Roman" w:hAnsi="Times New Roman" w:cs="Times New Roman"/>
          <w:sz w:val="24"/>
          <w:szCs w:val="24"/>
        </w:rPr>
        <w:t>7</w:t>
      </w:r>
      <w:r w:rsidRPr="008E0364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комиссии Харовского муниципального округа на 2025 год, утвержденного приказом Контрольно-счетной комиссии Харовского муниципального округа </w:t>
      </w:r>
      <w:r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8E0364"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8E0364"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E0364"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8E0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о/д.</w:t>
      </w:r>
    </w:p>
    <w:p w:rsidR="00AA31FB" w:rsidRPr="008E0364" w:rsidRDefault="0040175C" w:rsidP="008E0364">
      <w:pPr>
        <w:shd w:val="clear" w:color="auto" w:fill="FFFFFF"/>
        <w:tabs>
          <w:tab w:val="left" w:pos="709"/>
        </w:tabs>
        <w:spacing w:before="120" w:after="120"/>
        <w:contextualSpacing/>
        <w:rPr>
          <w:sz w:val="24"/>
          <w:szCs w:val="24"/>
        </w:rPr>
      </w:pPr>
      <w:r w:rsidRPr="008E0364">
        <w:rPr>
          <w:rFonts w:ascii="Times New Roman" w:hAnsi="Times New Roman" w:cs="Times New Roman"/>
          <w:b/>
          <w:i/>
          <w:sz w:val="24"/>
          <w:szCs w:val="24"/>
        </w:rPr>
        <w:t>Предмет финансово-экономической экспертизы</w:t>
      </w:r>
      <w:r w:rsidRPr="008E0364">
        <w:rPr>
          <w:rFonts w:ascii="Times New Roman" w:hAnsi="Times New Roman" w:cs="Times New Roman"/>
          <w:sz w:val="24"/>
          <w:szCs w:val="24"/>
        </w:rPr>
        <w:t>: проект решения Муниципального Собрания Харовского муниципального округа «О единовременной выплате».</w:t>
      </w:r>
      <w:r w:rsidRPr="008E0364">
        <w:rPr>
          <w:sz w:val="24"/>
          <w:szCs w:val="24"/>
        </w:rPr>
        <w:t xml:space="preserve"> </w:t>
      </w:r>
    </w:p>
    <w:p w:rsidR="00AA31FB" w:rsidRPr="008E0364" w:rsidRDefault="0040175C" w:rsidP="008E0364">
      <w:pPr>
        <w:shd w:val="clear" w:color="auto" w:fill="FFFFFF"/>
        <w:tabs>
          <w:tab w:val="left" w:pos="709"/>
        </w:tabs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b/>
          <w:i/>
          <w:sz w:val="24"/>
          <w:szCs w:val="24"/>
        </w:rPr>
        <w:t>Цель экспертизы</w:t>
      </w:r>
      <w:r w:rsidRPr="008E0364">
        <w:rPr>
          <w:rFonts w:ascii="Times New Roman" w:hAnsi="Times New Roman" w:cs="Times New Roman"/>
          <w:sz w:val="24"/>
          <w:szCs w:val="24"/>
        </w:rPr>
        <w:t xml:space="preserve">: </w:t>
      </w:r>
      <w:r w:rsidR="002F4A86">
        <w:rPr>
          <w:rFonts w:ascii="Times New Roman" w:hAnsi="Times New Roman" w:cs="Times New Roman"/>
          <w:sz w:val="24"/>
          <w:szCs w:val="24"/>
        </w:rPr>
        <w:t xml:space="preserve">определение соответствия положений, изложенных в проекте решения, действующим нормативно-правовым актам Российской Федерации, субъекта </w:t>
      </w:r>
      <w:r w:rsidR="002F4A8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F4A86" w:rsidRPr="008E0364">
        <w:rPr>
          <w:rFonts w:ascii="Times New Roman" w:hAnsi="Times New Roman" w:cs="Times New Roman"/>
          <w:sz w:val="24"/>
          <w:szCs w:val="24"/>
        </w:rPr>
        <w:t xml:space="preserve"> </w:t>
      </w:r>
      <w:r w:rsidR="002F4A86">
        <w:rPr>
          <w:rFonts w:ascii="Times New Roman" w:hAnsi="Times New Roman" w:cs="Times New Roman"/>
          <w:sz w:val="24"/>
          <w:szCs w:val="24"/>
        </w:rPr>
        <w:t xml:space="preserve">и </w:t>
      </w:r>
      <w:r w:rsidRPr="008E0364">
        <w:rPr>
          <w:rFonts w:ascii="Times New Roman" w:hAnsi="Times New Roman" w:cs="Times New Roman"/>
          <w:sz w:val="24"/>
          <w:szCs w:val="24"/>
        </w:rPr>
        <w:t>муниципального</w:t>
      </w:r>
      <w:r w:rsidR="002F4A8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A31FB" w:rsidRPr="008E0364">
        <w:rPr>
          <w:rFonts w:ascii="Times New Roman" w:hAnsi="Times New Roman" w:cs="Times New Roman"/>
          <w:sz w:val="24"/>
          <w:szCs w:val="24"/>
        </w:rPr>
        <w:t>.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F4A86">
        <w:rPr>
          <w:rFonts w:ascii="Times New Roman" w:hAnsi="Times New Roman" w:cs="Times New Roman"/>
          <w:b/>
          <w:i/>
          <w:sz w:val="24"/>
          <w:szCs w:val="24"/>
        </w:rPr>
        <w:t>Сроки пр</w:t>
      </w:r>
      <w:r w:rsidR="008E0364" w:rsidRPr="002F4A86">
        <w:rPr>
          <w:rFonts w:ascii="Times New Roman" w:hAnsi="Times New Roman" w:cs="Times New Roman"/>
          <w:b/>
          <w:i/>
          <w:sz w:val="24"/>
          <w:szCs w:val="24"/>
        </w:rPr>
        <w:t>оведения</w:t>
      </w:r>
      <w:r w:rsidR="008E0364" w:rsidRPr="008E03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E0364" w:rsidRPr="008E0364">
        <w:rPr>
          <w:rFonts w:ascii="Times New Roman" w:hAnsi="Times New Roman" w:cs="Times New Roman"/>
          <w:sz w:val="24"/>
          <w:szCs w:val="24"/>
        </w:rPr>
        <w:t>с  10</w:t>
      </w:r>
      <w:r w:rsidRPr="008E0364">
        <w:rPr>
          <w:rFonts w:ascii="Times New Roman" w:hAnsi="Times New Roman" w:cs="Times New Roman"/>
          <w:sz w:val="24"/>
          <w:szCs w:val="24"/>
        </w:rPr>
        <w:t>.04.2025</w:t>
      </w:r>
      <w:proofErr w:type="gramEnd"/>
      <w:r w:rsidRPr="008E0364">
        <w:rPr>
          <w:rFonts w:ascii="Times New Roman" w:hAnsi="Times New Roman" w:cs="Times New Roman"/>
          <w:sz w:val="24"/>
          <w:szCs w:val="24"/>
        </w:rPr>
        <w:t xml:space="preserve"> по 2</w:t>
      </w:r>
      <w:r w:rsidR="008E0364" w:rsidRPr="008E0364">
        <w:rPr>
          <w:rFonts w:ascii="Times New Roman" w:hAnsi="Times New Roman" w:cs="Times New Roman"/>
          <w:sz w:val="24"/>
          <w:szCs w:val="24"/>
        </w:rPr>
        <w:t>1</w:t>
      </w:r>
      <w:r w:rsidRPr="008E0364">
        <w:rPr>
          <w:rFonts w:ascii="Times New Roman" w:hAnsi="Times New Roman" w:cs="Times New Roman"/>
          <w:sz w:val="24"/>
          <w:szCs w:val="24"/>
        </w:rPr>
        <w:t>.04.2025</w:t>
      </w:r>
    </w:p>
    <w:p w:rsidR="0040175C" w:rsidRPr="008E0364" w:rsidRDefault="0040175C" w:rsidP="0040175C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>Проект решения подготовлен Финансовым управлением администрации Харовского муниципального округа и представлен в Контрольно-счетную комиссию 7 апреля 2025 года.</w:t>
      </w:r>
      <w:r w:rsidRPr="008E0364">
        <w:rPr>
          <w:rFonts w:ascii="Times New Roman" w:hAnsi="Times New Roman" w:cs="Times New Roman"/>
          <w:sz w:val="24"/>
          <w:szCs w:val="24"/>
        </w:rPr>
        <w:tab/>
      </w:r>
    </w:p>
    <w:p w:rsidR="0040175C" w:rsidRPr="008E0364" w:rsidRDefault="0040175C" w:rsidP="008E0364">
      <w:pPr>
        <w:shd w:val="clear" w:color="auto" w:fill="FFFFFF"/>
        <w:tabs>
          <w:tab w:val="left" w:pos="709"/>
        </w:tabs>
        <w:spacing w:before="120"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E0364">
        <w:rPr>
          <w:rFonts w:ascii="Times New Roman" w:hAnsi="Times New Roman" w:cs="Times New Roman"/>
          <w:b/>
          <w:i/>
          <w:sz w:val="24"/>
          <w:szCs w:val="24"/>
        </w:rPr>
        <w:t>По результатам экспертизы, проведенной Контрольно-счетной комиссией установлено следующее:</w:t>
      </w:r>
    </w:p>
    <w:p w:rsidR="00193590" w:rsidRPr="008E0364" w:rsidRDefault="00193590" w:rsidP="008E036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Проектом решения предлагается установить</w:t>
      </w:r>
      <w:r w:rsidRPr="008E0364">
        <w:rPr>
          <w:rFonts w:ascii="Times New Roman" w:hAnsi="Times New Roman" w:cs="Times New Roman"/>
          <w:sz w:val="24"/>
          <w:szCs w:val="24"/>
        </w:rPr>
        <w:t xml:space="preserve"> единовременную выплату работникам аппарата мировых судей Вологодской области по судебному участку № 59 в размере:</w:t>
      </w:r>
    </w:p>
    <w:p w:rsidR="00193590" w:rsidRPr="008E0364" w:rsidRDefault="00193590" w:rsidP="00193590">
      <w:pPr>
        <w:pStyle w:val="a3"/>
        <w:ind w:left="0"/>
        <w:rPr>
          <w:sz w:val="24"/>
          <w:szCs w:val="24"/>
        </w:rPr>
      </w:pPr>
      <w:r w:rsidRPr="008E0364">
        <w:rPr>
          <w:sz w:val="24"/>
          <w:szCs w:val="24"/>
        </w:rPr>
        <w:t xml:space="preserve">помощнику мирового судьи – 48,0 </w:t>
      </w:r>
      <w:proofErr w:type="spellStart"/>
      <w:r w:rsidRPr="008E0364">
        <w:rPr>
          <w:sz w:val="24"/>
          <w:szCs w:val="24"/>
        </w:rPr>
        <w:t>тыс.рублей</w:t>
      </w:r>
      <w:proofErr w:type="spellEnd"/>
      <w:r w:rsidRPr="008E0364">
        <w:rPr>
          <w:sz w:val="24"/>
          <w:szCs w:val="24"/>
        </w:rPr>
        <w:t>;</w:t>
      </w:r>
    </w:p>
    <w:p w:rsidR="00193590" w:rsidRPr="008E0364" w:rsidRDefault="00193590" w:rsidP="00193590">
      <w:pPr>
        <w:pStyle w:val="a3"/>
        <w:ind w:left="0"/>
        <w:rPr>
          <w:sz w:val="24"/>
          <w:szCs w:val="24"/>
        </w:rPr>
      </w:pPr>
      <w:r w:rsidRPr="008E0364">
        <w:rPr>
          <w:sz w:val="24"/>
          <w:szCs w:val="24"/>
        </w:rPr>
        <w:t xml:space="preserve">секретарю судебных заседаний – 60,0 </w:t>
      </w:r>
      <w:proofErr w:type="spellStart"/>
      <w:r w:rsidRPr="008E0364">
        <w:rPr>
          <w:sz w:val="24"/>
          <w:szCs w:val="24"/>
        </w:rPr>
        <w:t>тыс.рублей</w:t>
      </w:r>
      <w:proofErr w:type="spellEnd"/>
      <w:r w:rsidRPr="008E0364">
        <w:rPr>
          <w:sz w:val="24"/>
          <w:szCs w:val="24"/>
        </w:rPr>
        <w:t>;</w:t>
      </w:r>
    </w:p>
    <w:p w:rsidR="00193590" w:rsidRPr="008E0364" w:rsidRDefault="00193590" w:rsidP="00193590">
      <w:pPr>
        <w:pStyle w:val="a3"/>
        <w:ind w:left="0"/>
        <w:rPr>
          <w:sz w:val="24"/>
          <w:szCs w:val="24"/>
        </w:rPr>
      </w:pPr>
      <w:r w:rsidRPr="008E0364">
        <w:rPr>
          <w:sz w:val="24"/>
          <w:szCs w:val="24"/>
        </w:rPr>
        <w:t xml:space="preserve">старшему специалисту 2 разряда – 51,0 </w:t>
      </w:r>
      <w:proofErr w:type="spellStart"/>
      <w:r w:rsidRPr="008E0364">
        <w:rPr>
          <w:sz w:val="24"/>
          <w:szCs w:val="24"/>
        </w:rPr>
        <w:t>тыс.рублей</w:t>
      </w:r>
      <w:proofErr w:type="spellEnd"/>
      <w:r w:rsidRPr="008E0364">
        <w:rPr>
          <w:sz w:val="24"/>
          <w:szCs w:val="24"/>
        </w:rPr>
        <w:t>.</w:t>
      </w:r>
    </w:p>
    <w:p w:rsidR="00193590" w:rsidRPr="008E0364" w:rsidRDefault="00193590" w:rsidP="004B07D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Контрольно-счетная комиссия округа предлагает в пункте 1 проекта решения слова «аппарата мировых судей Вологодской области по судебному участку №59» заменить словами «аппарата мирового суд</w:t>
      </w:r>
      <w:bookmarkStart w:id="0" w:name="_GoBack"/>
      <w:bookmarkEnd w:id="0"/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ьи Вологодской области по судебному участку №59». Кроме этого, в преамбуле представленного проекта решения в ссылке на Федеральный закон №131-ФЗ «Об общих принципах организации местного самоуправления в Российской Федерации»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неверно указан год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принятия закона 2023, а следует 2003 год.</w:t>
      </w:r>
    </w:p>
    <w:p w:rsidR="00CB37F7" w:rsidRPr="008E0364" w:rsidRDefault="00CB37F7" w:rsidP="004B07D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CB37F7" w:rsidRPr="008E0364" w:rsidRDefault="00CB37F7" w:rsidP="00CB37F7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Проектом </w:t>
      </w:r>
      <w:r w:rsidR="00193590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предлагается принять нормативный правовой акт Муниципального Собрания Харовского муниципального округа, предусматривающий предоставление единовременной выплаты работникам аппарата мировых судей Вологодской области по судебному участку №59. </w:t>
      </w:r>
    </w:p>
    <w:p w:rsidR="00193590" w:rsidRPr="008E0364" w:rsidRDefault="00CB37F7" w:rsidP="00193590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отметить, что в соответствии с частью 5 статьи 20 Федерального закона от 06.10.2003 № 131-ФЗ и пунктом 24) части 2 статьи 28 Устава Харовского муниципального округа </w:t>
      </w:r>
      <w:r w:rsidR="00BD169F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образование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69F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вправе устанавливать за счет средств бюджета муниципального образования дополнительные меры социальной поддержки и социальной помощи и </w:t>
      </w:r>
      <w:r w:rsidR="00193590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право относит</w:t>
      </w:r>
      <w:r w:rsidR="00BD169F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BD169F" w:rsidRPr="008E0364">
        <w:rPr>
          <w:sz w:val="24"/>
          <w:szCs w:val="24"/>
        </w:rPr>
        <w:t xml:space="preserve"> </w:t>
      </w:r>
      <w:r w:rsidR="00BD169F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компетенции Муниципального Собрания Харовского </w:t>
      </w:r>
      <w:r w:rsidR="00BD169F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муниципального округа.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>В силу части 5 статьи 20 Федерального закона от 06.10.2003 №131-ФЗ</w:t>
      </w:r>
      <w:r w:rsidR="00193590" w:rsidRPr="008E0364">
        <w:rPr>
          <w:sz w:val="24"/>
          <w:szCs w:val="24"/>
        </w:rPr>
        <w:t xml:space="preserve"> и 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>пункта 24) части 2 статьи 28 Устава Харовского муниципального округа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право устанавливать единовременную выплату у 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="00193590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Собрания округа отсутствует.</w:t>
      </w:r>
    </w:p>
    <w:p w:rsidR="00193590" w:rsidRPr="008E0364" w:rsidRDefault="00193590" w:rsidP="00193590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В целях приведения к нормам действующего законодательства </w:t>
      </w: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>онтрольно-счетная комиссия округа предлагает внести корректировки в наименование проекта решения и по тексту проекта, заменив слова «единовременная выплата» на «единовременная социальная выплата работникам аппарата мирового судьи» в соответствующих падежах.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A14C97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принятии данного решения в соответствии со статьями 6, 86 Бюджетного Кодекса РФ возникнет новое расходное обязательство округа на 2025 год. </w:t>
      </w:r>
      <w:r w:rsidR="008257C8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 — экономическое обоснование на обеспечение нового расходного обязательства в 2025 году к проекту решения не представлено.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1 статьи 83 Бюджетного Кодекса РФ</w:t>
      </w:r>
      <w:r w:rsidR="00A14C97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принимается закон или другой нормативный правовой акт, предусматривающий увеличение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исполнение данной нормы законодательства пунктом 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решения предусматривается, что единовременная выплата осуществляется за счет бюджета 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Харовского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Проектом решения определен порядок предоставления единовременной выплаты.</w:t>
      </w:r>
    </w:p>
    <w:p w:rsidR="0031231B" w:rsidRPr="008E0364" w:rsidRDefault="00A14C97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тем, К</w:t>
      </w:r>
      <w:r w:rsidR="0031231B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онтрольно-счетная комиссия отмечает ряд недостатков, а именно: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2.1.В соответствии со статьей 219 Бюджетного Кодекса РФ исполнение бюджета по расходам предусматривает санкционирование оплаты денежных обязательств.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B054D4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Порядком санкционирования оплаты денежных обязательств главных распорядителей и получателей средств бюджета округа и оплаты денежных обязательств, подлежащих исполнению за счет бюджетных ассигнований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утвержденным </w:t>
      </w:r>
      <w:r w:rsidR="003D4959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Финансового управления администрации Харовского муниципального округа от 09.01.2023 №7 о/д 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по тексту – Порядок санкционирования оплаты денежных обязательств) плательщики для санкционирования оплаты де</w:t>
      </w:r>
      <w:r w:rsidR="00D96073"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нежных обязательств направляют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платежным поручением нормативно-правовой акт о выделении и расходовании средств бюджета.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нарушение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данного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Порядка санкционирования оплаты денежных обязательств проект решения не предусматри</w:t>
      </w:r>
      <w:r w:rsidR="003D4959"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вает составление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нормативно-правового акта на перечисление единовременной выплаты.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2.2.Пунктом 6 проекта решения рекомендуется Главному управлению по обеспечению деятельности мировых судей Вологодской области представлять в администрацию округа сведения о работниках аппаратов мировых судей Вологодской области для предоставления единовременной выплаты по форме приложения к решению.</w:t>
      </w:r>
    </w:p>
    <w:p w:rsidR="00CB37F7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формулировка предполагает представление сведений о работниках аппаратов мировых судей всей области.</w:t>
      </w:r>
    </w:p>
    <w:p w:rsidR="0031231B" w:rsidRPr="008E0364" w:rsidRDefault="0031231B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Контрольно-счетная комиссия округа предлагает в пункте 6 слова «о работниках аппаратов мировых судей Вологодской области» заменить словами «о работниках аппарата мирового судьи по судебному участку № 59 Вологодской области».</w:t>
      </w:r>
    </w:p>
    <w:p w:rsidR="003D4959" w:rsidRPr="008E0364" w:rsidRDefault="00006FC3" w:rsidP="0031231B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Кроме этого, контрольно-счетная комиссия отмечает, что пунктом 1 проекта решения предусмотрено, что размер единовременной выплаты зависит от занимаемой должности и отработанного времени, а форма сведений, предусмотренная пунктом 6 проекта решения, не содержит информаци</w:t>
      </w:r>
      <w:r w:rsidR="008257C8"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занимаемой должности и количестве отработанного времени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231B" w:rsidRPr="008E0364" w:rsidRDefault="0031231B" w:rsidP="008E0364">
      <w:pPr>
        <w:spacing w:before="1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Проектом решения не закреплена ответственность за предоставление сведений и правильность начисления единовременной выплаты.</w:t>
      </w:r>
    </w:p>
    <w:p w:rsidR="00312735" w:rsidRPr="008E0364" w:rsidRDefault="00006FC3" w:rsidP="008257C8">
      <w:pPr>
        <w:shd w:val="clear" w:color="auto" w:fill="FFFFFF"/>
        <w:tabs>
          <w:tab w:val="left" w:pos="709"/>
        </w:tabs>
        <w:contextualSpacing/>
        <w:rPr>
          <w:i/>
          <w:sz w:val="24"/>
          <w:szCs w:val="24"/>
        </w:rPr>
      </w:pP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Данные, содержащиеся в сведениях, предоставляемые Главным управлением по обеспечению деятельности мировых судей Вологодской области в соответствии с </w:t>
      </w:r>
      <w:r w:rsidR="008257C8"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едеральным законом от 27.07.2006 №152-ФЗ «О персональных данных», являются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персональными данными. Вместе с тем </w:t>
      </w:r>
      <w:proofErr w:type="gramStart"/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предоставление 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согласия</w:t>
      </w:r>
      <w:proofErr w:type="gramEnd"/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обработку персональных</w:t>
      </w:r>
      <w:r w:rsidRPr="008E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данных проектом решения не предусмотрено.  </w:t>
      </w:r>
    </w:p>
    <w:p w:rsidR="00AA31FB" w:rsidRPr="008E0364" w:rsidRDefault="00827D3C" w:rsidP="008E0364">
      <w:pPr>
        <w:spacing w:before="12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>Кроме этого</w:t>
      </w:r>
      <w:r w:rsidR="00A14C97" w:rsidRPr="008E036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пояснительная записка к представленному проекту решения не представлена, финансово-экономическое обоснование</w:t>
      </w:r>
      <w:r w:rsidR="002B0684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отсутствует. В связи с этим, о</w:t>
      </w: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>пределить</w:t>
      </w:r>
      <w:r w:rsidR="00A14C97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 потребность бюджетных </w:t>
      </w:r>
      <w:r w:rsidR="00A14C97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 для </w:t>
      </w:r>
      <w:r w:rsidR="00A14C97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реализации данного решения не представляется </w:t>
      </w:r>
      <w:r w:rsidR="002B0684" w:rsidRPr="008E0364">
        <w:rPr>
          <w:rFonts w:ascii="Times New Roman" w:eastAsia="Times New Roman" w:hAnsi="Times New Roman" w:cs="Times New Roman"/>
          <w:i/>
          <w:sz w:val="24"/>
          <w:szCs w:val="24"/>
        </w:rPr>
        <w:t>воз</w:t>
      </w:r>
      <w:r w:rsidRPr="008E0364">
        <w:rPr>
          <w:rFonts w:ascii="Times New Roman" w:eastAsia="Times New Roman" w:hAnsi="Times New Roman" w:cs="Times New Roman"/>
          <w:i/>
          <w:sz w:val="24"/>
          <w:szCs w:val="24"/>
        </w:rPr>
        <w:t>можн</w:t>
      </w:r>
      <w:r w:rsidR="00A14C97" w:rsidRPr="008E0364">
        <w:rPr>
          <w:rFonts w:ascii="Times New Roman" w:eastAsia="Times New Roman" w:hAnsi="Times New Roman" w:cs="Times New Roman"/>
          <w:i/>
          <w:sz w:val="24"/>
          <w:szCs w:val="24"/>
        </w:rPr>
        <w:t xml:space="preserve">ым. </w:t>
      </w:r>
    </w:p>
    <w:p w:rsidR="00B054D4" w:rsidRPr="008E0364" w:rsidRDefault="00B054D4" w:rsidP="003661FF">
      <w:pPr>
        <w:spacing w:before="120" w:after="120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E0364">
        <w:rPr>
          <w:rFonts w:ascii="Times New Roman" w:hAnsi="Times New Roman" w:cs="Times New Roman"/>
          <w:b/>
          <w:i/>
          <w:sz w:val="24"/>
          <w:szCs w:val="24"/>
        </w:rPr>
        <w:t>Предложения и рекомендации:</w:t>
      </w:r>
    </w:p>
    <w:p w:rsidR="003661FF" w:rsidRPr="008E0364" w:rsidRDefault="003661FF" w:rsidP="003661F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E0364">
        <w:rPr>
          <w:rFonts w:ascii="Times New Roman" w:hAnsi="Times New Roman" w:cs="Times New Roman"/>
          <w:i/>
          <w:sz w:val="24"/>
          <w:szCs w:val="24"/>
        </w:rPr>
        <w:t xml:space="preserve">Учитывая изложенное, </w:t>
      </w:r>
      <w:r w:rsidRPr="008E0364">
        <w:rPr>
          <w:rFonts w:ascii="Times New Roman" w:hAnsi="Times New Roman" w:cs="Times New Roman"/>
          <w:i/>
          <w:sz w:val="24"/>
          <w:szCs w:val="24"/>
        </w:rPr>
        <w:t xml:space="preserve">Контрольно-счетная комиссия округа полагает, что </w:t>
      </w:r>
      <w:r w:rsidRPr="008E0364">
        <w:rPr>
          <w:rFonts w:ascii="Times New Roman" w:hAnsi="Times New Roman" w:cs="Times New Roman"/>
          <w:i/>
          <w:sz w:val="24"/>
          <w:szCs w:val="24"/>
        </w:rPr>
        <w:t xml:space="preserve">представленный </w:t>
      </w:r>
      <w:r w:rsidRPr="008E0364">
        <w:rPr>
          <w:rFonts w:ascii="Times New Roman" w:hAnsi="Times New Roman" w:cs="Times New Roman"/>
          <w:i/>
          <w:sz w:val="24"/>
          <w:szCs w:val="24"/>
        </w:rPr>
        <w:t>проект решения Муниципального Собрания Харовского муниципального округа «О единовременной выплате</w:t>
      </w:r>
      <w:r w:rsidRPr="008E0364">
        <w:rPr>
          <w:rFonts w:ascii="Times New Roman" w:hAnsi="Times New Roman" w:cs="Times New Roman"/>
          <w:i/>
          <w:sz w:val="24"/>
          <w:szCs w:val="24"/>
        </w:rPr>
        <w:t>» требует доработки и предлагает:</w:t>
      </w:r>
    </w:p>
    <w:p w:rsidR="003661FF" w:rsidRPr="008E0364" w:rsidRDefault="003661FF" w:rsidP="003661F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E03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14C97" w:rsidRPr="008E0364">
        <w:rPr>
          <w:rFonts w:ascii="Times New Roman" w:hAnsi="Times New Roman" w:cs="Times New Roman"/>
          <w:i/>
          <w:sz w:val="24"/>
          <w:szCs w:val="24"/>
        </w:rPr>
        <w:t xml:space="preserve">внести </w:t>
      </w:r>
      <w:r w:rsidR="00A14C97" w:rsidRPr="008E0364">
        <w:rPr>
          <w:rFonts w:ascii="Times New Roman" w:hAnsi="Times New Roman" w:cs="Times New Roman"/>
          <w:i/>
          <w:sz w:val="24"/>
          <w:szCs w:val="24"/>
        </w:rPr>
        <w:t xml:space="preserve">соответствующие </w:t>
      </w:r>
      <w:r w:rsidR="00A14C97" w:rsidRPr="008E0364">
        <w:rPr>
          <w:rFonts w:ascii="Times New Roman" w:hAnsi="Times New Roman" w:cs="Times New Roman"/>
          <w:i/>
          <w:sz w:val="24"/>
          <w:szCs w:val="24"/>
        </w:rPr>
        <w:t xml:space="preserve">изменения в проект решения </w:t>
      </w:r>
      <w:r w:rsidRPr="008E0364">
        <w:rPr>
          <w:rFonts w:ascii="Times New Roman" w:hAnsi="Times New Roman" w:cs="Times New Roman"/>
          <w:i/>
          <w:sz w:val="24"/>
          <w:szCs w:val="24"/>
        </w:rPr>
        <w:t>с учетом замечаний, изложенных в данном Заключении,</w:t>
      </w:r>
    </w:p>
    <w:p w:rsidR="003661FF" w:rsidRPr="008E0364" w:rsidRDefault="00E238A5" w:rsidP="003661F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E0364">
        <w:rPr>
          <w:rFonts w:ascii="Times New Roman" w:hAnsi="Times New Roman" w:cs="Times New Roman"/>
          <w:i/>
          <w:sz w:val="24"/>
          <w:szCs w:val="24"/>
        </w:rPr>
        <w:t>- про</w:t>
      </w:r>
      <w:r w:rsidR="003661FF" w:rsidRPr="008E0364">
        <w:rPr>
          <w:rFonts w:ascii="Times New Roman" w:hAnsi="Times New Roman" w:cs="Times New Roman"/>
          <w:i/>
          <w:sz w:val="24"/>
          <w:szCs w:val="24"/>
        </w:rPr>
        <w:t>ект решения после доработки, но до рассмотрения его на зас</w:t>
      </w:r>
      <w:r w:rsidRPr="008E0364">
        <w:rPr>
          <w:rFonts w:ascii="Times New Roman" w:hAnsi="Times New Roman" w:cs="Times New Roman"/>
          <w:i/>
          <w:sz w:val="24"/>
          <w:szCs w:val="24"/>
        </w:rPr>
        <w:t xml:space="preserve">едании Муниципального Собрания, </w:t>
      </w:r>
      <w:r w:rsidR="003661FF" w:rsidRPr="008E0364">
        <w:rPr>
          <w:rFonts w:ascii="Times New Roman" w:hAnsi="Times New Roman" w:cs="Times New Roman"/>
          <w:i/>
          <w:sz w:val="24"/>
          <w:szCs w:val="24"/>
        </w:rPr>
        <w:t>представить в Контрольно-счетную комиссию округа.</w:t>
      </w:r>
    </w:p>
    <w:p w:rsidR="003661FF" w:rsidRPr="008E0364" w:rsidRDefault="003661FF" w:rsidP="00647AE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661FF" w:rsidRPr="008E0364" w:rsidRDefault="003661FF" w:rsidP="00647AE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A1D85" w:rsidRPr="008E0364" w:rsidRDefault="005A1D85" w:rsidP="00647AE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A1D85" w:rsidRPr="008E0364" w:rsidRDefault="005A1D85" w:rsidP="00647AE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5A1D85" w:rsidRPr="008E0364" w:rsidRDefault="005A1D85" w:rsidP="00647AE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0364">
        <w:rPr>
          <w:rFonts w:ascii="Times New Roman" w:hAnsi="Times New Roman" w:cs="Times New Roman"/>
          <w:sz w:val="24"/>
          <w:szCs w:val="24"/>
        </w:rPr>
        <w:t xml:space="preserve">Харовского муниципального округа </w:t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r w:rsidRPr="008E03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364">
        <w:rPr>
          <w:rFonts w:ascii="Times New Roman" w:hAnsi="Times New Roman" w:cs="Times New Roman"/>
          <w:sz w:val="24"/>
          <w:szCs w:val="24"/>
        </w:rPr>
        <w:t>М.В.Гусева</w:t>
      </w:r>
      <w:proofErr w:type="spellEnd"/>
    </w:p>
    <w:p w:rsidR="005A1D85" w:rsidRPr="008E0364" w:rsidRDefault="005A1D85" w:rsidP="00647AE3">
      <w:pPr>
        <w:ind w:firstLine="0"/>
        <w:rPr>
          <w:rFonts w:ascii="Times New Roman" w:hAnsi="Times New Roman" w:cs="Times New Roman"/>
          <w:sz w:val="24"/>
          <w:szCs w:val="24"/>
        </w:rPr>
        <w:sectPr w:rsidR="005A1D85" w:rsidRPr="008E0364" w:rsidSect="00E40893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tbl>
      <w:tblPr>
        <w:tblW w:w="197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0"/>
        <w:gridCol w:w="4679"/>
      </w:tblGrid>
      <w:tr w:rsidR="00647AE3" w:rsidRPr="008E0364" w:rsidTr="00DF442F">
        <w:trPr>
          <w:trHeight w:val="36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442F" w:rsidRPr="008E0364" w:rsidRDefault="00DF442F" w:rsidP="00DF442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Муниципального Собрания </w:t>
            </w:r>
          </w:p>
          <w:p w:rsidR="00DF442F" w:rsidRPr="008E0364" w:rsidRDefault="00DF442F" w:rsidP="00DF442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364"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муниципального округа Вологодской области </w:t>
            </w:r>
          </w:p>
          <w:p w:rsidR="00DF442F" w:rsidRPr="008E0364" w:rsidRDefault="00DF442F" w:rsidP="00DF442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364">
              <w:rPr>
                <w:rFonts w:ascii="Times New Roman" w:hAnsi="Times New Roman" w:cs="Times New Roman"/>
                <w:sz w:val="24"/>
                <w:szCs w:val="24"/>
              </w:rPr>
              <w:t>от ________№______</w:t>
            </w:r>
          </w:p>
          <w:p w:rsidR="00DF442F" w:rsidRPr="008E0364" w:rsidRDefault="00DF442F" w:rsidP="00DF44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F" w:rsidRPr="008E0364" w:rsidRDefault="00DF442F" w:rsidP="00DF44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64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аппаратов мировых судей для предоставления единовременной выплаты</w:t>
            </w:r>
          </w:p>
          <w:p w:rsidR="00DF442F" w:rsidRPr="008E0364" w:rsidRDefault="00DF442F" w:rsidP="00DF44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6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апреля 2025 года по 30 июня 2025 года</w:t>
            </w:r>
          </w:p>
          <w:p w:rsidR="00DF442F" w:rsidRPr="008E0364" w:rsidRDefault="00DF442F" w:rsidP="00DF44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1495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196"/>
              <w:gridCol w:w="673"/>
              <w:gridCol w:w="1212"/>
              <w:gridCol w:w="1267"/>
              <w:gridCol w:w="1087"/>
              <w:gridCol w:w="1322"/>
              <w:gridCol w:w="788"/>
              <w:gridCol w:w="843"/>
              <w:gridCol w:w="969"/>
              <w:gridCol w:w="850"/>
              <w:gridCol w:w="1060"/>
              <w:gridCol w:w="1611"/>
              <w:gridCol w:w="1505"/>
              <w:gridCol w:w="6"/>
            </w:tblGrid>
            <w:tr w:rsidR="00DF442F" w:rsidRPr="008E0364" w:rsidTr="00DF442F">
              <w:tc>
                <w:tcPr>
                  <w:tcW w:w="561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196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673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212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1267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087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4772" w:type="dxa"/>
                  <w:gridSpan w:val="5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документа, удостоверяющего личность</w:t>
                  </w:r>
                </w:p>
              </w:tc>
              <w:tc>
                <w:tcPr>
                  <w:tcW w:w="1060" w:type="dxa"/>
                  <w:vMerge w:val="restart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рублей</w:t>
                  </w:r>
                </w:p>
              </w:tc>
              <w:tc>
                <w:tcPr>
                  <w:tcW w:w="3122" w:type="dxa"/>
                  <w:gridSpan w:val="3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банковского счета</w:t>
                  </w:r>
                </w:p>
              </w:tc>
            </w:tr>
            <w:tr w:rsidR="00DF442F" w:rsidRPr="008E0364" w:rsidTr="00DF442F">
              <w:trPr>
                <w:gridAfter w:val="1"/>
                <w:wAfter w:w="6" w:type="dxa"/>
              </w:trPr>
              <w:tc>
                <w:tcPr>
                  <w:tcW w:w="561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документа</w:t>
                  </w:r>
                </w:p>
              </w:tc>
              <w:tc>
                <w:tcPr>
                  <w:tcW w:w="788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843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969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850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 выдан</w:t>
                  </w:r>
                </w:p>
              </w:tc>
              <w:tc>
                <w:tcPr>
                  <w:tcW w:w="1060" w:type="dxa"/>
                  <w:vMerge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кредитной организации</w:t>
                  </w:r>
                </w:p>
              </w:tc>
              <w:tc>
                <w:tcPr>
                  <w:tcW w:w="1505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счета в кредитной организации (20 знаков)</w:t>
                  </w:r>
                </w:p>
              </w:tc>
            </w:tr>
            <w:tr w:rsidR="00DF442F" w:rsidRPr="008E0364" w:rsidTr="00DF442F">
              <w:trPr>
                <w:gridAfter w:val="1"/>
                <w:wAfter w:w="6" w:type="dxa"/>
              </w:trPr>
              <w:tc>
                <w:tcPr>
                  <w:tcW w:w="561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DF442F" w:rsidRPr="008E0364" w:rsidRDefault="00DF442F" w:rsidP="00DF442F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442F" w:rsidRPr="008E0364" w:rsidTr="00DF442F">
              <w:trPr>
                <w:gridAfter w:val="1"/>
                <w:wAfter w:w="6" w:type="dxa"/>
              </w:trPr>
              <w:tc>
                <w:tcPr>
                  <w:tcW w:w="561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442F" w:rsidRPr="008E0364" w:rsidTr="00DF442F">
              <w:trPr>
                <w:gridAfter w:val="1"/>
                <w:wAfter w:w="6" w:type="dxa"/>
              </w:trPr>
              <w:tc>
                <w:tcPr>
                  <w:tcW w:w="561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DF442F" w:rsidRPr="008E0364" w:rsidRDefault="00DF442F" w:rsidP="00DF442F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7AE3" w:rsidRPr="008E0364" w:rsidRDefault="00647AE3" w:rsidP="00647AE3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AE3" w:rsidRPr="008E0364" w:rsidRDefault="00647AE3" w:rsidP="00647AE3">
            <w:pPr>
              <w:rPr>
                <w:sz w:val="24"/>
                <w:szCs w:val="24"/>
              </w:rPr>
            </w:pPr>
          </w:p>
        </w:tc>
      </w:tr>
    </w:tbl>
    <w:p w:rsidR="00EC792A" w:rsidRPr="008E0364" w:rsidRDefault="00EC792A" w:rsidP="00D345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E62" w:rsidRPr="008E0364" w:rsidRDefault="00316E62" w:rsidP="00D3457B">
      <w:pPr>
        <w:ind w:firstLine="0"/>
        <w:rPr>
          <w:rFonts w:ascii="Times New Roman" w:hAnsi="Times New Roman" w:cs="Times New Roman"/>
          <w:sz w:val="24"/>
          <w:szCs w:val="24"/>
        </w:rPr>
        <w:sectPr w:rsidR="00316E62" w:rsidRPr="008E0364" w:rsidSect="00DF442F">
          <w:pgSz w:w="16838" w:h="11906" w:orient="landscape"/>
          <w:pgMar w:top="1418" w:right="851" w:bottom="851" w:left="851" w:header="708" w:footer="708" w:gutter="0"/>
          <w:cols w:space="708"/>
          <w:docGrid w:linePitch="360"/>
        </w:sectPr>
      </w:pPr>
    </w:p>
    <w:p w:rsidR="00EC792A" w:rsidRPr="008E0364" w:rsidRDefault="00EC792A" w:rsidP="00D3457B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C792A" w:rsidRPr="008E0364" w:rsidSect="00DF442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513CF"/>
    <w:multiLevelType w:val="hybridMultilevel"/>
    <w:tmpl w:val="C1DC9820"/>
    <w:lvl w:ilvl="0" w:tplc="ABEE3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9E"/>
    <w:rsid w:val="00006FC3"/>
    <w:rsid w:val="00062BBD"/>
    <w:rsid w:val="00071634"/>
    <w:rsid w:val="000857D3"/>
    <w:rsid w:val="000A2C73"/>
    <w:rsid w:val="000C1409"/>
    <w:rsid w:val="000F236F"/>
    <w:rsid w:val="00131A6A"/>
    <w:rsid w:val="0013426F"/>
    <w:rsid w:val="00145272"/>
    <w:rsid w:val="00154E20"/>
    <w:rsid w:val="00157C81"/>
    <w:rsid w:val="00173680"/>
    <w:rsid w:val="00193590"/>
    <w:rsid w:val="00196889"/>
    <w:rsid w:val="001A2A2F"/>
    <w:rsid w:val="001C314B"/>
    <w:rsid w:val="001D68D8"/>
    <w:rsid w:val="001E5A44"/>
    <w:rsid w:val="00200726"/>
    <w:rsid w:val="00202572"/>
    <w:rsid w:val="00227A36"/>
    <w:rsid w:val="00242176"/>
    <w:rsid w:val="00275463"/>
    <w:rsid w:val="002A0710"/>
    <w:rsid w:val="002B0684"/>
    <w:rsid w:val="002D023E"/>
    <w:rsid w:val="002D53EE"/>
    <w:rsid w:val="002F4A86"/>
    <w:rsid w:val="003049AF"/>
    <w:rsid w:val="00306983"/>
    <w:rsid w:val="0031231B"/>
    <w:rsid w:val="00312735"/>
    <w:rsid w:val="00316E62"/>
    <w:rsid w:val="0032714B"/>
    <w:rsid w:val="00342119"/>
    <w:rsid w:val="003658C1"/>
    <w:rsid w:val="003661FF"/>
    <w:rsid w:val="00386878"/>
    <w:rsid w:val="00391AAF"/>
    <w:rsid w:val="003B45A2"/>
    <w:rsid w:val="003D3504"/>
    <w:rsid w:val="003D4959"/>
    <w:rsid w:val="003F1DED"/>
    <w:rsid w:val="003F4FC7"/>
    <w:rsid w:val="0040175C"/>
    <w:rsid w:val="004107B0"/>
    <w:rsid w:val="00414B37"/>
    <w:rsid w:val="00451F93"/>
    <w:rsid w:val="00455000"/>
    <w:rsid w:val="004B07DF"/>
    <w:rsid w:val="00517592"/>
    <w:rsid w:val="00526796"/>
    <w:rsid w:val="00534E0C"/>
    <w:rsid w:val="00557C02"/>
    <w:rsid w:val="005904D7"/>
    <w:rsid w:val="005A1D85"/>
    <w:rsid w:val="005A2B01"/>
    <w:rsid w:val="005A3C7A"/>
    <w:rsid w:val="005B611F"/>
    <w:rsid w:val="005D3CDC"/>
    <w:rsid w:val="005E06AA"/>
    <w:rsid w:val="005E35E2"/>
    <w:rsid w:val="00643273"/>
    <w:rsid w:val="00643E03"/>
    <w:rsid w:val="00645089"/>
    <w:rsid w:val="00647AE3"/>
    <w:rsid w:val="006B1826"/>
    <w:rsid w:val="006D1975"/>
    <w:rsid w:val="006D5BD7"/>
    <w:rsid w:val="006E734C"/>
    <w:rsid w:val="006F2C76"/>
    <w:rsid w:val="007022CF"/>
    <w:rsid w:val="0071421F"/>
    <w:rsid w:val="0073402F"/>
    <w:rsid w:val="00751A9E"/>
    <w:rsid w:val="00772B0A"/>
    <w:rsid w:val="007949EE"/>
    <w:rsid w:val="0079797D"/>
    <w:rsid w:val="007A2F08"/>
    <w:rsid w:val="007C1C48"/>
    <w:rsid w:val="007D0C74"/>
    <w:rsid w:val="007E215E"/>
    <w:rsid w:val="008056EC"/>
    <w:rsid w:val="00816138"/>
    <w:rsid w:val="008249D5"/>
    <w:rsid w:val="008257C8"/>
    <w:rsid w:val="00827D3C"/>
    <w:rsid w:val="00872C74"/>
    <w:rsid w:val="0088752E"/>
    <w:rsid w:val="008D3398"/>
    <w:rsid w:val="008E0364"/>
    <w:rsid w:val="008F415B"/>
    <w:rsid w:val="008F6F4A"/>
    <w:rsid w:val="00925FD1"/>
    <w:rsid w:val="009331C7"/>
    <w:rsid w:val="00934A86"/>
    <w:rsid w:val="00955114"/>
    <w:rsid w:val="0095637B"/>
    <w:rsid w:val="00994B17"/>
    <w:rsid w:val="009E5A40"/>
    <w:rsid w:val="009F11E9"/>
    <w:rsid w:val="00A14C97"/>
    <w:rsid w:val="00A25B80"/>
    <w:rsid w:val="00A37AAD"/>
    <w:rsid w:val="00A412BE"/>
    <w:rsid w:val="00A5149E"/>
    <w:rsid w:val="00A5377B"/>
    <w:rsid w:val="00A541E6"/>
    <w:rsid w:val="00A7317F"/>
    <w:rsid w:val="00A80741"/>
    <w:rsid w:val="00A80B97"/>
    <w:rsid w:val="00AA31FB"/>
    <w:rsid w:val="00AA43E4"/>
    <w:rsid w:val="00AC0984"/>
    <w:rsid w:val="00AF1436"/>
    <w:rsid w:val="00B054D4"/>
    <w:rsid w:val="00B31B98"/>
    <w:rsid w:val="00B4355B"/>
    <w:rsid w:val="00B95BD9"/>
    <w:rsid w:val="00BB767F"/>
    <w:rsid w:val="00BC61E2"/>
    <w:rsid w:val="00BC62BB"/>
    <w:rsid w:val="00BD169F"/>
    <w:rsid w:val="00C84C09"/>
    <w:rsid w:val="00CB37F7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6211C"/>
    <w:rsid w:val="00D65C0F"/>
    <w:rsid w:val="00D71E63"/>
    <w:rsid w:val="00D751CB"/>
    <w:rsid w:val="00D758C0"/>
    <w:rsid w:val="00D96073"/>
    <w:rsid w:val="00DA4B42"/>
    <w:rsid w:val="00DC235B"/>
    <w:rsid w:val="00DD60EA"/>
    <w:rsid w:val="00DE095E"/>
    <w:rsid w:val="00DF442F"/>
    <w:rsid w:val="00E01400"/>
    <w:rsid w:val="00E03BDB"/>
    <w:rsid w:val="00E238A5"/>
    <w:rsid w:val="00E40893"/>
    <w:rsid w:val="00E639AC"/>
    <w:rsid w:val="00E8183D"/>
    <w:rsid w:val="00EB598E"/>
    <w:rsid w:val="00EC21E8"/>
    <w:rsid w:val="00EC792A"/>
    <w:rsid w:val="00F37064"/>
    <w:rsid w:val="00F62EA7"/>
    <w:rsid w:val="00F66E82"/>
    <w:rsid w:val="00F91969"/>
    <w:rsid w:val="00F971A6"/>
    <w:rsid w:val="00FC14FB"/>
    <w:rsid w:val="00FD3A98"/>
    <w:rsid w:val="00FE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FB5C1-B12C-4D0E-AD23-FE7C9A80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537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000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B95BD9"/>
    <w:pPr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5BD9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laceholder Text"/>
    <w:basedOn w:val="a0"/>
    <w:uiPriority w:val="99"/>
    <w:semiHidden/>
    <w:rsid w:val="00F37064"/>
    <w:rPr>
      <w:color w:val="808080"/>
    </w:rPr>
  </w:style>
  <w:style w:type="paragraph" w:styleId="ab">
    <w:name w:val="No Spacing"/>
    <w:link w:val="ac"/>
    <w:uiPriority w:val="1"/>
    <w:qFormat/>
    <w:rsid w:val="00A5377B"/>
  </w:style>
  <w:style w:type="character" w:customStyle="1" w:styleId="30">
    <w:name w:val="Заголовок 3 Знак"/>
    <w:basedOn w:val="a0"/>
    <w:link w:val="3"/>
    <w:uiPriority w:val="9"/>
    <w:rsid w:val="00A537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A5377B"/>
    <w:pPr>
      <w:numPr>
        <w:ilvl w:val="1"/>
      </w:numPr>
      <w:spacing w:after="160"/>
      <w:ind w:firstLine="709"/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A5377B"/>
    <w:rPr>
      <w:color w:val="5A5A5A" w:themeColor="text1" w:themeTint="A5"/>
      <w:spacing w:val="15"/>
    </w:rPr>
  </w:style>
  <w:style w:type="paragraph" w:customStyle="1" w:styleId="12">
    <w:name w:val="Стиль1"/>
    <w:basedOn w:val="ab"/>
    <w:link w:val="13"/>
    <w:qFormat/>
    <w:rsid w:val="00A5377B"/>
    <w:rPr>
      <w:rFonts w:ascii="Times New Roman" w:hAnsi="Times New Roman"/>
      <w:i/>
      <w:sz w:val="28"/>
    </w:rPr>
  </w:style>
  <w:style w:type="paragraph" w:customStyle="1" w:styleId="23">
    <w:name w:val="Стиль2"/>
    <w:basedOn w:val="ab"/>
    <w:link w:val="24"/>
    <w:qFormat/>
    <w:rsid w:val="00A5377B"/>
    <w:rPr>
      <w:rFonts w:ascii="Cambria Math" w:hAnsi="Cambria Math"/>
      <w:i/>
    </w:rPr>
  </w:style>
  <w:style w:type="character" w:customStyle="1" w:styleId="ac">
    <w:name w:val="Без интервала Знак"/>
    <w:basedOn w:val="a0"/>
    <w:link w:val="ab"/>
    <w:uiPriority w:val="1"/>
    <w:rsid w:val="00A5377B"/>
  </w:style>
  <w:style w:type="character" w:customStyle="1" w:styleId="13">
    <w:name w:val="Стиль1 Знак"/>
    <w:basedOn w:val="ac"/>
    <w:link w:val="12"/>
    <w:rsid w:val="00A5377B"/>
    <w:rPr>
      <w:rFonts w:ascii="Times New Roman" w:hAnsi="Times New Roman"/>
      <w:i/>
      <w:sz w:val="28"/>
    </w:rPr>
  </w:style>
  <w:style w:type="paragraph" w:customStyle="1" w:styleId="31">
    <w:name w:val="Стиль3"/>
    <w:basedOn w:val="ab"/>
    <w:link w:val="32"/>
    <w:qFormat/>
    <w:rsid w:val="00A5377B"/>
  </w:style>
  <w:style w:type="character" w:customStyle="1" w:styleId="24">
    <w:name w:val="Стиль2 Знак"/>
    <w:basedOn w:val="ac"/>
    <w:link w:val="23"/>
    <w:rsid w:val="00A5377B"/>
    <w:rPr>
      <w:rFonts w:ascii="Cambria Math" w:hAnsi="Cambria Math"/>
      <w:i/>
    </w:rPr>
  </w:style>
  <w:style w:type="table" w:styleId="af">
    <w:name w:val="Table Grid"/>
    <w:basedOn w:val="a1"/>
    <w:uiPriority w:val="59"/>
    <w:rsid w:val="0081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Стиль3 Знак"/>
    <w:basedOn w:val="ac"/>
    <w:link w:val="31"/>
    <w:rsid w:val="00A5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7468-EDA4-4972-AE85-2C880A71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45</cp:revision>
  <cp:lastPrinted>2025-04-21T12:55:00Z</cp:lastPrinted>
  <dcterms:created xsi:type="dcterms:W3CDTF">2024-03-26T13:03:00Z</dcterms:created>
  <dcterms:modified xsi:type="dcterms:W3CDTF">2025-04-21T12:59:00Z</dcterms:modified>
</cp:coreProperties>
</file>