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26" w:rsidRDefault="003576FC">
      <w:pPr>
        <w:pStyle w:val="Standard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Контрольно-счетная комиссия</w:t>
      </w:r>
    </w:p>
    <w:p w:rsidR="00AE0926" w:rsidRDefault="003576FC">
      <w:pPr>
        <w:pStyle w:val="Standard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Харовского муниципального округа</w:t>
      </w:r>
    </w:p>
    <w:p w:rsidR="00AE0926" w:rsidRDefault="003576FC">
      <w:pPr>
        <w:pStyle w:val="Standard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Вологодской области</w:t>
      </w:r>
    </w:p>
    <w:p w:rsidR="00AE0926" w:rsidRDefault="00AE0926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ind w:firstLine="3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182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2"/>
        <w:gridCol w:w="4560"/>
      </w:tblGrid>
      <w:tr w:rsidR="00AE0926">
        <w:tc>
          <w:tcPr>
            <w:tcW w:w="5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Утвержден:</w:t>
            </w:r>
          </w:p>
          <w:p w:rsidR="00AE0926" w:rsidRDefault="00357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приказом председателя Контрольно-счетной комиссии Харовского муниципального округа</w:t>
            </w:r>
          </w:p>
          <w:p w:rsidR="00AE0926" w:rsidRDefault="00357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03.02.2023 № 18 о/д</w:t>
            </w:r>
          </w:p>
          <w:p w:rsidR="00AE0926" w:rsidRDefault="00357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  <w:p w:rsidR="00AE0926" w:rsidRDefault="00AE09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26" w:rsidRDefault="003576F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44"/>
          <w:szCs w:val="44"/>
        </w:rPr>
        <w:t>Стандарт </w:t>
      </w:r>
      <w:r>
        <w:rPr>
          <w:rFonts w:ascii="Times New Roman" w:hAnsi="Times New Roman" w:cs="Times New Roman"/>
          <w:color w:val="000000"/>
          <w:sz w:val="44"/>
          <w:szCs w:val="44"/>
        </w:rPr>
        <w:br/>
        <w:t xml:space="preserve">организационной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E0926" w:rsidRDefault="003576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«Порядок подготовки годового отчета о работе  Контрольно-счетной комиссии Харовского</w:t>
      </w:r>
    </w:p>
    <w:p w:rsidR="00AE0926" w:rsidRDefault="003576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муниципального округа» </w:t>
      </w: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926" w:rsidRDefault="003576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(СОД 2)</w:t>
      </w: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26" w:rsidRDefault="003576FC">
      <w:pPr>
        <w:pStyle w:val="Standard"/>
        <w:spacing w:before="280" w:after="28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sectPr w:rsidR="00AE0926">
          <w:pgSz w:w="12240" w:h="15840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2023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год</w:t>
      </w:r>
      <w:proofErr w:type="spellEnd"/>
    </w:p>
    <w:p w:rsidR="00AE0926" w:rsidRDefault="003576FC">
      <w:pPr>
        <w:pStyle w:val="Standard"/>
        <w:spacing w:before="280" w:after="28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AE0926" w:rsidRDefault="00AE0926">
      <w:pPr>
        <w:pStyle w:val="Standard"/>
      </w:pPr>
    </w:p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9040"/>
        <w:gridCol w:w="717"/>
      </w:tblGrid>
      <w:tr w:rsidR="00AE0926">
        <w:trPr>
          <w:trHeight w:val="391"/>
        </w:trPr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Общие положения…………………………………...........................................</w:t>
            </w:r>
          </w:p>
        </w:tc>
        <w:tc>
          <w:tcPr>
            <w:tcW w:w="71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0926" w:rsidRDefault="003576FC">
            <w:pPr>
              <w:pStyle w:val="TableContents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0926"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Структура годового отчета.................................................................................</w:t>
            </w:r>
          </w:p>
        </w:tc>
        <w:tc>
          <w:tcPr>
            <w:tcW w:w="71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0926" w:rsidRDefault="003576FC">
            <w:pPr>
              <w:pStyle w:val="TableContents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0926"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Общие требования к предоставлению документов и материалов для формирования годового отчета..........................................................................</w:t>
            </w:r>
          </w:p>
        </w:tc>
        <w:tc>
          <w:tcPr>
            <w:tcW w:w="71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0926" w:rsidRDefault="003576FC">
            <w:pPr>
              <w:pStyle w:val="TableContents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926"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Порядок подготовки, утверждения и направление в Муниципальное Собрание округа годового отчета......................................................................</w:t>
            </w:r>
          </w:p>
        </w:tc>
        <w:tc>
          <w:tcPr>
            <w:tcW w:w="71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0926" w:rsidRDefault="003576FC">
            <w:pPr>
              <w:pStyle w:val="TableContents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926"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исполнением положений Стандарта.................</w:t>
            </w:r>
          </w:p>
        </w:tc>
        <w:tc>
          <w:tcPr>
            <w:tcW w:w="71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0926" w:rsidRDefault="003576FC">
            <w:pPr>
              <w:pStyle w:val="TableContents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926"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926" w:rsidRDefault="003576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к Стандарту (основные показатели деятельности Контрольно-счетной комиссии Харовского муниципального округа). …....</w:t>
            </w:r>
          </w:p>
        </w:tc>
        <w:tc>
          <w:tcPr>
            <w:tcW w:w="71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0926" w:rsidRDefault="003576FC">
            <w:pPr>
              <w:pStyle w:val="TableContents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E0926" w:rsidRDefault="00AE0926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1AE" w:rsidRPr="009E11AE" w:rsidRDefault="009E11A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AE09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926" w:rsidRDefault="003576FC">
      <w:pPr>
        <w:pStyle w:val="Standard"/>
        <w:spacing w:before="119" w:after="119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</w:t>
      </w:r>
      <w:r w:rsidRPr="005859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AE0926" w:rsidRDefault="003576FC">
      <w:pPr>
        <w:pStyle w:val="Standard"/>
        <w:spacing w:after="0" w:line="240" w:lineRule="auto"/>
        <w:ind w:firstLine="37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585952">
        <w:rPr>
          <w:rFonts w:ascii="Times New Roman" w:hAnsi="Times New Roman" w:cs="Times New Roman"/>
          <w:sz w:val="28"/>
          <w:szCs w:val="28"/>
        </w:rPr>
        <w:t>организационной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«Порядок подготовки годового отчета о работе контрольно-счетной комиссии Харовского муниципального округа Вологодской области»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– Стандарт) разработан в соответствии со статьей 11 </w:t>
      </w:r>
      <w:hyperlink r:id="rId8" w:history="1">
        <w:r w:rsidRPr="009E11AE">
          <w:rPr>
            <w:rFonts w:ascii="Times New Roman" w:hAnsi="Times New Roman" w:cs="Times New Roman"/>
            <w:sz w:val="28"/>
            <w:szCs w:val="28"/>
          </w:rPr>
          <w:t>Федерального</w:t>
        </w:r>
      </w:hyperlink>
      <w:r w:rsidR="00A7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E11A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7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E11AE">
          <w:rPr>
            <w:rFonts w:ascii="Times New Roman" w:hAnsi="Times New Roman" w:cs="Times New Roman"/>
            <w:sz w:val="28"/>
            <w:szCs w:val="28"/>
          </w:rPr>
          <w:t>от</w:t>
        </w:r>
      </w:hyperlink>
      <w:r w:rsidR="00A7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E11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7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E11AE">
          <w:rPr>
            <w:rFonts w:ascii="Times New Roman" w:hAnsi="Times New Roman" w:cs="Times New Roman"/>
            <w:sz w:val="28"/>
            <w:szCs w:val="28"/>
          </w:rPr>
          <w:t>февраля</w:t>
        </w:r>
      </w:hyperlink>
      <w:r w:rsidR="00A7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E11AE">
          <w:rPr>
            <w:rFonts w:ascii="Times New Roman" w:hAnsi="Times New Roman" w:cs="Times New Roman"/>
            <w:sz w:val="28"/>
            <w:szCs w:val="28"/>
          </w:rPr>
          <w:t>2011</w:t>
        </w:r>
      </w:hyperlink>
      <w:r w:rsidR="00A7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E11AE">
          <w:rPr>
            <w:rFonts w:ascii="Times New Roman" w:hAnsi="Times New Roman" w:cs="Times New Roman"/>
            <w:sz w:val="28"/>
            <w:szCs w:val="28"/>
          </w:rPr>
          <w:t>года</w:t>
        </w:r>
      </w:hyperlink>
      <w:r w:rsidR="00A73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E11AE">
          <w:rPr>
            <w:rFonts w:ascii="Times New Roman" w:hAnsi="Times New Roman" w:cs="Times New Roman"/>
            <w:sz w:val="28"/>
            <w:szCs w:val="28"/>
          </w:rPr>
          <w:t>№6-</w:t>
        </w:r>
      </w:hyperlink>
      <w:hyperlink r:id="rId16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</w:hyperlink>
      <w:hyperlink r:id="rId17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</w:hyperlink>
      <w:hyperlink r:id="rId18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</w:hyperlink>
      <w:hyperlink r:id="rId19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</w:hyperlink>
      <w:hyperlink r:id="rId20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</w:hyperlink>
      <w:hyperlink r:id="rId21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</w:hyperlink>
      <w:hyperlink r:id="rId22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kspvo</w:t>
        </w:r>
      </w:hyperlink>
      <w:hyperlink r:id="rId23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</w:hyperlink>
      <w:hyperlink r:id="rId24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</w:hyperlink>
      <w:hyperlink r:id="rId25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</w:hyperlink>
      <w:hyperlink r:id="rId26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docs</w:t>
        </w:r>
      </w:hyperlink>
      <w:hyperlink r:id="rId27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</w:hyperlink>
      <w:hyperlink r:id="rId28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fz</w:t>
        </w:r>
      </w:hyperlink>
      <w:hyperlink r:id="rId29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/6</w:t>
        </w:r>
      </w:hyperlink>
      <w:hyperlink r:id="rId30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fz</w:t>
        </w:r>
      </w:hyperlink>
      <w:hyperlink r:id="rId31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</w:hyperlink>
      <w:hyperlink r:id="rId32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php</w:t>
        </w:r>
      </w:hyperlink>
      <w:hyperlink r:id="rId33" w:history="1">
        <w:r w:rsidRPr="009E11A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</w:hyperlink>
      <w:hyperlink r:id="rId34" w:history="1">
        <w:r w:rsidRPr="009E11A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</w:t>
        </w:r>
      </w:hyperlink>
      <w:proofErr w:type="gramStart"/>
      <w:r w:rsidRPr="009E11AE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Харовского муниципального округа Вологодской области, утвержденным  решением Муниципального Собрания  №14 от 07.10.2022 года  (далее - Положение).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Харовского муниципального округа Вологодской области (далее – Контрольно-счетная комиссия) подотчетна Муниципальному  Собранию Харовского муниципального округа.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Целью настоящего Стандарта является установление порядка и правил подготовки отчета о работе Контрольно-счетной комиссии за год (далее - годовой отчет).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Задачей Стандарта является определение структуры годового отчета, общих требований к представлению документов и материалов для формирования годового отчета, порядка подготовки, утверждения и направления в Муниципальное Собрание округа годового отчета.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Настоящий Стандарт применяется Контрольно-счетной комиссией  при формировании годового отчета.</w:t>
      </w:r>
    </w:p>
    <w:p w:rsidR="00AE0926" w:rsidRDefault="003576FC">
      <w:pPr>
        <w:pStyle w:val="Standard"/>
        <w:spacing w:before="119" w:after="119" w:line="240" w:lineRule="auto"/>
        <w:ind w:firstLine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годового отчета</w:t>
      </w:r>
    </w:p>
    <w:p w:rsidR="00AE0926" w:rsidRDefault="003576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Годовой отчет  состоит  из текстовой части и приложения.</w:t>
      </w:r>
    </w:p>
    <w:p w:rsidR="00AE0926" w:rsidRDefault="003576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 годового отчета состоит из следующих разделов:</w:t>
      </w:r>
    </w:p>
    <w:p w:rsidR="00AE0926" w:rsidRDefault="003576FC">
      <w:pPr>
        <w:pStyle w:val="Standard"/>
        <w:widowControl w:val="0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сведения;</w:t>
      </w:r>
    </w:p>
    <w:p w:rsidR="00AE0926" w:rsidRDefault="003576FC">
      <w:pPr>
        <w:pStyle w:val="Standar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контрольных мероприятий;</w:t>
      </w:r>
    </w:p>
    <w:p w:rsidR="00AE0926" w:rsidRDefault="003576FC">
      <w:pPr>
        <w:pStyle w:val="Standar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экспертно-аналитических мероприятий;</w:t>
      </w:r>
    </w:p>
    <w:p w:rsidR="00AE0926" w:rsidRDefault="003576FC">
      <w:pPr>
        <w:pStyle w:val="Standar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и иная деятельность;</w:t>
      </w:r>
    </w:p>
    <w:p w:rsidR="00AE0926" w:rsidRDefault="003576F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вопросы деятельности Контрольно-счетной комиссии;</w:t>
      </w:r>
    </w:p>
    <w:p w:rsidR="00AE0926" w:rsidRDefault="003576F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В разделе «Общие сведения» отражены данные, характеризующие в целом работу  Контрольно-счетной комиссии за год, в том числе:</w:t>
      </w:r>
    </w:p>
    <w:p w:rsidR="00AE0926" w:rsidRDefault="003576FC">
      <w:pPr>
        <w:pStyle w:val="Standard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итоги работы;</w:t>
      </w:r>
    </w:p>
    <w:p w:rsidR="00AE0926" w:rsidRDefault="003576FC">
      <w:pPr>
        <w:pStyle w:val="Standard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плана работы Контрольно-счетной комиссии за отчетный период;</w:t>
      </w:r>
    </w:p>
    <w:p w:rsidR="00AE0926" w:rsidRDefault="003576FC">
      <w:pPr>
        <w:pStyle w:val="Standard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проведенных контрольных и экспертно-аналитических мероприятий;</w:t>
      </w:r>
    </w:p>
    <w:p w:rsidR="00AE0926" w:rsidRDefault="003576FC">
      <w:pPr>
        <w:pStyle w:val="Standard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выявленных нарушений;</w:t>
      </w:r>
    </w:p>
    <w:p w:rsidR="00AE0926" w:rsidRDefault="003576FC">
      <w:pPr>
        <w:pStyle w:val="Standard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средств, подлежащих к восстановлению в бюджет округа и к устранению нарушений.</w:t>
      </w:r>
    </w:p>
    <w:p w:rsidR="00AE0926" w:rsidRDefault="003576F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В разделе «Результаты контрольных мероприятий» отражаются следующие данные:</w:t>
      </w:r>
    </w:p>
    <w:p w:rsidR="00AE0926" w:rsidRDefault="003576FC">
      <w:pPr>
        <w:pStyle w:val="Standar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 проведённых за отчётный период контрольных мероприятий, 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общая характеристика;</w:t>
      </w:r>
    </w:p>
    <w:p w:rsidR="00AE0926" w:rsidRDefault="003576FC">
      <w:pPr>
        <w:pStyle w:val="Standar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проверенных объектов;</w:t>
      </w:r>
    </w:p>
    <w:p w:rsidR="00AE0926" w:rsidRDefault="003576FC">
      <w:pPr>
        <w:pStyle w:val="Standar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проверенных средств;</w:t>
      </w:r>
    </w:p>
    <w:p w:rsidR="00AE0926" w:rsidRDefault="003576FC">
      <w:pPr>
        <w:pStyle w:val="Standar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и количество выявленных нарушений;</w:t>
      </w:r>
    </w:p>
    <w:p w:rsidR="00AE0926" w:rsidRDefault="003576FC">
      <w:pPr>
        <w:pStyle w:val="Standar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выводы и рекомендации Контрольно-счетной комиссии  по результатам контрольных мероприятий;</w:t>
      </w:r>
    </w:p>
    <w:p w:rsidR="00AE0926" w:rsidRDefault="003576F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внесенных Контрольно-счетной комиссией представлений и предписаний, в том числе количество разработанных Контрольно-счетной комиссией предложений по устранению выявленных нарушений и недостатков, предотвращению нанесения материального ущерба или возмещению причиненного вреда. Количество привлеченных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AE0926" w:rsidRDefault="003576F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 выполнении представлений и предписаний Контрольно-счетной комиссии округа, в том числе количество выполненных (принятых к исполнению) предложений Контрольно-счетной комиссии;</w:t>
      </w:r>
    </w:p>
    <w:p w:rsidR="00AE0926" w:rsidRDefault="003576F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количестве контрольных мероприятий, по которым материалы направлены в правоохранительные органы, а также информация о результатах рассмотрения указанных материалов.</w:t>
      </w:r>
    </w:p>
    <w:p w:rsidR="00AE0926" w:rsidRDefault="003576F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В разделе «Результаты экспертно-аналитических мероприятий» отражаются результаты проведённых экспертно-аналитических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0926" w:rsidRDefault="003576FC">
      <w:pPr>
        <w:pStyle w:val="Standar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проекта решения Муниципального Собрания округа о бюджете округа и проектов решений о внесении изменений в решение о бюджете;</w:t>
      </w:r>
    </w:p>
    <w:p w:rsidR="00AE0926" w:rsidRDefault="003576FC">
      <w:pPr>
        <w:pStyle w:val="Standar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внешней проверке годового отчёта об исполнении бюджета округа;</w:t>
      </w:r>
    </w:p>
    <w:p w:rsidR="00AE0926" w:rsidRDefault="003576FC">
      <w:pPr>
        <w:pStyle w:val="Standar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экспертизе нормативных правовых актов, касающихся расходных обязательств Харовского муниципального округа, а также муниципальных программ;</w:t>
      </w:r>
    </w:p>
    <w:p w:rsidR="00AE0926" w:rsidRDefault="003576FC">
      <w:pPr>
        <w:pStyle w:val="Standar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 экспертно-аналитическим мероприятиям.</w:t>
      </w:r>
    </w:p>
    <w:p w:rsidR="00AE0926" w:rsidRDefault="003576F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раздел включаются основные выводы, предложения, рекомендации, принятые решения органов местного самоуправления по результатам экспертно-аналитических мероприятий.</w:t>
      </w:r>
    </w:p>
    <w:p w:rsidR="00AE0926" w:rsidRDefault="003576FC">
      <w:pPr>
        <w:pStyle w:val="Standard"/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 В разделе «Информационная и иная деятельность» отражаются данные о размещении информации о текущей деятельности Контрольно-счетной комиссии, а так же </w:t>
      </w:r>
      <w:r>
        <w:rPr>
          <w:rFonts w:ascii="Times New Roman" w:hAnsi="Times New Roman"/>
          <w:sz w:val="28"/>
          <w:szCs w:val="28"/>
        </w:rPr>
        <w:t xml:space="preserve">о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>
        <w:rPr>
          <w:rFonts w:ascii="Times New Roman" w:hAnsi="Times New Roman"/>
          <w:sz w:val="28"/>
          <w:szCs w:val="28"/>
        </w:rPr>
        <w:t xml:space="preserve"> с  органами прокуратуры, органами внутренних дел, иными правоохранительными, надзорными и контрольными органами,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 Вологодской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926" w:rsidRDefault="003576FC">
      <w:pPr>
        <w:pStyle w:val="Standard"/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разделе «Внутренние вопросы деятельности Контрольно-счетной комиссии» отражаются следующие вопросы:</w:t>
      </w:r>
    </w:p>
    <w:p w:rsidR="00AE0926" w:rsidRDefault="003576FC">
      <w:pPr>
        <w:pStyle w:val="Standard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Контрольно-счетной комиссии;</w:t>
      </w:r>
    </w:p>
    <w:p w:rsidR="00AE0926" w:rsidRDefault="003576FC">
      <w:pPr>
        <w:pStyle w:val="Standard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документационное обеспечение деятельности Контрольно-счетной комиссии;</w:t>
      </w:r>
    </w:p>
    <w:p w:rsidR="00AE0926" w:rsidRDefault="003576FC">
      <w:pPr>
        <w:pStyle w:val="Standard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информационно-технологическое обеспечение деятельности Контрольно-счетной комиссии.</w:t>
      </w:r>
    </w:p>
    <w:p w:rsidR="00AE0926" w:rsidRDefault="003576FC">
      <w:pPr>
        <w:pStyle w:val="Standard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2.7. Основные показатели деятельности Контрольно-счетной комиссии за год отражаются в приложении к годовому отчету по форме согласно приложению к Стандарту.</w:t>
      </w:r>
    </w:p>
    <w:p w:rsidR="00AE0926" w:rsidRDefault="003576FC">
      <w:pPr>
        <w:pStyle w:val="Standard"/>
        <w:spacing w:before="119" w:after="119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Общие требования к представлению документов и материалов для формирования годового отчета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Учет количества проведенных контрольных и экспертно-аналитических мероприятий осуществляется по исполненным пунктам плана работы Контрольно-счетная комиссия  (завершенным контрольным и экспертно-аналитическим мероприятиям). Контрольные и экспертно-аналитические мероприятия учитываются раздельно. Все данные приводятся строго за отчетный период. Информация по выявленным нарушениям включается в отчет о работе направления деятельности Контрольно-счетная комиссия только на основании утвержденного отчета о результатах контрольного мероприятия или заключения по результатам экспертно-аналитического мероприятия.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Суммы выявленных и возмещенных средств нарушений указываются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точностью до первого десятичного знака.</w:t>
      </w:r>
    </w:p>
    <w:p w:rsidR="00AE0926" w:rsidRDefault="003576FC">
      <w:pPr>
        <w:pStyle w:val="Standard"/>
        <w:spacing w:before="119" w:after="119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подготовки, утверждения и направления в Муниципальное Собрание округа годового отчета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Проект годового отчета формируется председателем Контрольно-счетной комиссии.</w:t>
      </w:r>
    </w:p>
    <w:p w:rsidR="00AE0926" w:rsidRDefault="003576FC">
      <w:pPr>
        <w:pStyle w:val="Standard"/>
        <w:spacing w:after="0" w:line="240" w:lineRule="auto"/>
        <w:ind w:firstLine="37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Годовой отчет подлежит утверждению  решением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округа.</w:t>
      </w:r>
    </w:p>
    <w:p w:rsidR="00AE0926" w:rsidRDefault="003576FC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4.3. Годовой отчет подлежит  размещению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позднее 10 дней со дня его рассмотрения Муниципальным  </w:t>
      </w:r>
      <w:r>
        <w:rPr>
          <w:rFonts w:ascii="Times New Roman" w:hAnsi="Times New Roman" w:cs="Times New Roman"/>
          <w:sz w:val="28"/>
          <w:szCs w:val="28"/>
        </w:rPr>
        <w:t>Собранием Харовского муниципального округа.</w:t>
      </w:r>
    </w:p>
    <w:p w:rsidR="00AE0926" w:rsidRDefault="003576FC">
      <w:pPr>
        <w:pStyle w:val="Standard"/>
        <w:spacing w:before="119" w:after="119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Осуществление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положений Стандарта</w:t>
      </w:r>
    </w:p>
    <w:p w:rsidR="00AE0926" w:rsidRDefault="003576FC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Стандарта осуществляется председателем Контрольно-счетной комиссии.</w:t>
      </w:r>
    </w:p>
    <w:p w:rsidR="00AE0926" w:rsidRDefault="00AE0926">
      <w:pPr>
        <w:pStyle w:val="Standard"/>
        <w:spacing w:after="0" w:line="240" w:lineRule="auto"/>
        <w:ind w:firstLine="375"/>
        <w:jc w:val="right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AE0926" w:rsidRDefault="00AE0926">
      <w:pPr>
        <w:pStyle w:val="Standard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AE0926" w:rsidRDefault="00AE09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E11AE" w:rsidRDefault="009E11A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E0926" w:rsidRDefault="003576FC">
      <w:pPr>
        <w:pStyle w:val="Standard"/>
        <w:spacing w:after="0" w:line="240" w:lineRule="auto"/>
        <w:ind w:firstLine="375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к Стандарту</w:t>
      </w:r>
    </w:p>
    <w:p w:rsidR="00AE0926" w:rsidRPr="009E11AE" w:rsidRDefault="003576FC">
      <w:pPr>
        <w:pStyle w:val="Standard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1AE">
        <w:rPr>
          <w:rFonts w:ascii="Times New Roman" w:hAnsi="Times New Roman" w:cs="Times New Roman"/>
          <w:b/>
          <w:bCs/>
          <w:sz w:val="24"/>
          <w:szCs w:val="24"/>
        </w:rPr>
        <w:t>Основные показатели деятельности Контрольно-счетной комиссии Харовского муниципального округа за _______ год</w:t>
      </w:r>
    </w:p>
    <w:p w:rsidR="00AE0926" w:rsidRPr="009E11AE" w:rsidRDefault="00AE0926">
      <w:pPr>
        <w:pStyle w:val="Standard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26" w:rsidRDefault="003576FC">
      <w:pPr>
        <w:pStyle w:val="Standard"/>
        <w:widowControl w:val="0"/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09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5700"/>
        <w:gridCol w:w="3300"/>
      </w:tblGrid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AE0926" w:rsidRDefault="003576FC">
            <w:pPr>
              <w:pStyle w:val="Standard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Наименование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</w:tr>
      <w:tr w:rsidR="00AE0926">
        <w:tc>
          <w:tcPr>
            <w:tcW w:w="9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.Контрольные мероприятия</w:t>
            </w:r>
          </w:p>
        </w:tc>
      </w:tr>
      <w:tr w:rsidR="00AE0926">
        <w:trPr>
          <w:trHeight w:val="731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Общее количество проведенных контрольных мероприятий (ед.)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Количество объектов, охваченных при проведении контрольных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нарушений на сумму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в том числе: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и исполнении бюджетов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Нецелевое использование средств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rPr>
          <w:trHeight w:val="867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принципу эффективности использования  бюджетных средств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Неправомерное использование средств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государственной ( муниципальной) собственности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осуществлении   муниципальных закупок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бухгалтерского учета и составлении отчетности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виды нарушений и недостатков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9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AE0926">
        <w:trPr>
          <w:trHeight w:val="597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проведенных экспертно-аналитических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ед.), из них: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Подготовлено заключений по проектам нормативных правовых актов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Подготовлено заключений на отчеты об исполнении бюджета  (ед.)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финансовых нарушений  и недостатков на сумму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в том числе: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и исполнении бюджетов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составлении отчетности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виды нарушений и недостатков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9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Реализация результатов контрольных и экспертно-аналитических мероприятий</w:t>
            </w: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9E11AE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представлений (</w:t>
            </w:r>
            <w:r w:rsidR="003576FC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9E11AE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предложений (</w:t>
            </w:r>
            <w:r w:rsidR="003576FC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выполнено предложений по устранению нарушений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принятые к сведению) ( ед.).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Предложено к восстановлению</w:t>
            </w:r>
            <w:r w:rsidR="009E1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взысканию), отражению в учете ( в решении о бюджете) в представлениях и заключениях КСК на сумму</w:t>
            </w:r>
          </w:p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Восстановлено в бюджет ( отражено в решении о бюджете, учете), в том числе по представлениям прошлых лет на сумму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информационных материалов по результатам экспер</w:t>
            </w:r>
            <w:r w:rsidR="009E11AE">
              <w:rPr>
                <w:rFonts w:ascii="Times New Roman" w:eastAsia="Times New Roman" w:hAnsi="Times New Roman" w:cs="Times New Roman"/>
                <w:sz w:val="24"/>
                <w:szCs w:val="24"/>
              </w:rPr>
              <w:t>тно-аналитических мероприятий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постановлений и решений ор</w:t>
            </w:r>
            <w:r w:rsidR="009E11AE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материалов, направленных в прокуратуру района по итогам</w:t>
            </w:r>
            <w:r w:rsidR="009E1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мероприятий КСК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материалам КСК возбуждено: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9E11AE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уголовных  дел (</w:t>
            </w:r>
            <w:r w:rsidR="003576FC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производств (ед.)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926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3576F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привлеченных к дисциплинарной, материальной, адм</w:t>
            </w:r>
            <w:r w:rsidR="009E11AE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инистративной ответственности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чел.)       </w:t>
            </w:r>
          </w:p>
          <w:p w:rsidR="00AE0926" w:rsidRDefault="00AE0926">
            <w:pPr>
              <w:pStyle w:val="Standard"/>
              <w:widowControl w:val="0"/>
              <w:tabs>
                <w:tab w:val="left" w:pos="18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6" w:rsidRDefault="00AE0926">
            <w:pPr>
              <w:pStyle w:val="Standard"/>
              <w:tabs>
                <w:tab w:val="left" w:pos="1276"/>
              </w:tabs>
              <w:spacing w:before="100"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0926" w:rsidRDefault="00AE0926">
      <w:pPr>
        <w:pStyle w:val="Standard"/>
        <w:widowControl w:val="0"/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AE0926" w:rsidRDefault="00AE09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E0926" w:rsidRDefault="00AE0926">
      <w:pPr>
        <w:pStyle w:val="Standard"/>
        <w:spacing w:after="0" w:line="240" w:lineRule="auto"/>
        <w:ind w:firstLine="375"/>
        <w:jc w:val="center"/>
      </w:pPr>
    </w:p>
    <w:sectPr w:rsidR="00AE0926">
      <w:headerReference w:type="default" r:id="rId35"/>
      <w:footerReference w:type="default" r:id="rId36"/>
      <w:pgSz w:w="11906" w:h="16838"/>
      <w:pgMar w:top="776" w:right="567" w:bottom="1686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DC" w:rsidRDefault="009C0EDC">
      <w:pPr>
        <w:spacing w:after="0" w:line="240" w:lineRule="auto"/>
      </w:pPr>
      <w:r>
        <w:separator/>
      </w:r>
    </w:p>
  </w:endnote>
  <w:endnote w:type="continuationSeparator" w:id="0">
    <w:p w:rsidR="009C0EDC" w:rsidRDefault="009C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7E" w:rsidRDefault="003576FC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A73F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DC" w:rsidRDefault="009C0E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0EDC" w:rsidRDefault="009C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7E" w:rsidRDefault="009C0EDC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34F"/>
    <w:multiLevelType w:val="multilevel"/>
    <w:tmpl w:val="67E651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4B836D3"/>
    <w:multiLevelType w:val="multilevel"/>
    <w:tmpl w:val="E5A6CE66"/>
    <w:styleLink w:val="WW8Num17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ADD7DCA"/>
    <w:multiLevelType w:val="multilevel"/>
    <w:tmpl w:val="22268D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1D36BA8"/>
    <w:multiLevelType w:val="multilevel"/>
    <w:tmpl w:val="D53E3E78"/>
    <w:styleLink w:val="WWNum2"/>
    <w:lvl w:ilvl="0">
      <w:start w:val="2023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BC86B7E"/>
    <w:multiLevelType w:val="multilevel"/>
    <w:tmpl w:val="073E3286"/>
    <w:styleLink w:val="WW8Num18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F6757CF"/>
    <w:multiLevelType w:val="multilevel"/>
    <w:tmpl w:val="F6E8E55E"/>
    <w:styleLink w:val="WW8Num15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A4B2896"/>
    <w:multiLevelType w:val="multilevel"/>
    <w:tmpl w:val="8A9638C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63229DD"/>
    <w:multiLevelType w:val="multilevel"/>
    <w:tmpl w:val="8A7895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9645113"/>
    <w:multiLevelType w:val="multilevel"/>
    <w:tmpl w:val="27E03C8E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B925419"/>
    <w:multiLevelType w:val="multilevel"/>
    <w:tmpl w:val="F056C1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26"/>
    <w:rsid w:val="003576FC"/>
    <w:rsid w:val="00585952"/>
    <w:rsid w:val="005A1D0F"/>
    <w:rsid w:val="009C0EDC"/>
    <w:rsid w:val="009E11AE"/>
    <w:rsid w:val="00A73F60"/>
    <w:rsid w:val="00A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8Num17">
    <w:name w:val="WW8Num17"/>
    <w:basedOn w:val="a2"/>
    <w:pPr>
      <w:numPr>
        <w:numId w:val="3"/>
      </w:numPr>
    </w:pPr>
  </w:style>
  <w:style w:type="numbering" w:customStyle="1" w:styleId="WW8Num18">
    <w:name w:val="WW8Num18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8Num17">
    <w:name w:val="WW8Num17"/>
    <w:basedOn w:val="a2"/>
    <w:pPr>
      <w:numPr>
        <w:numId w:val="3"/>
      </w:numPr>
    </w:pPr>
  </w:style>
  <w:style w:type="numbering" w:customStyle="1" w:styleId="WW8Num18">
    <w:name w:val="WW8Num18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fz/6fz.php" TargetMode="External"/><Relationship Id="rId13" Type="http://schemas.openxmlformats.org/officeDocument/2006/relationships/hyperlink" Target="http://www.kspvo.ru/docs/fz/6fz.php" TargetMode="External"/><Relationship Id="rId18" Type="http://schemas.openxmlformats.org/officeDocument/2006/relationships/hyperlink" Target="http://www.kspvo.ru/docs/fz/6fz.php" TargetMode="External"/><Relationship Id="rId26" Type="http://schemas.openxmlformats.org/officeDocument/2006/relationships/hyperlink" Target="http://www.kspvo.ru/docs/fz/6fz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vo.ru/docs/fz/6fz.php" TargetMode="External"/><Relationship Id="rId34" Type="http://schemas.openxmlformats.org/officeDocument/2006/relationships/hyperlink" Target="http://www.kspvo.ru/docs/fz/6fz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pvo.ru/docs/fz/6fz.php" TargetMode="External"/><Relationship Id="rId17" Type="http://schemas.openxmlformats.org/officeDocument/2006/relationships/hyperlink" Target="http://www.kspvo.ru/docs/fz/6fz.php" TargetMode="External"/><Relationship Id="rId25" Type="http://schemas.openxmlformats.org/officeDocument/2006/relationships/hyperlink" Target="http://www.kspvo.ru/docs/fz/6fz.php" TargetMode="External"/><Relationship Id="rId33" Type="http://schemas.openxmlformats.org/officeDocument/2006/relationships/hyperlink" Target="http://www.kspvo.ru/docs/fz/6fz.ph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spvo.ru/docs/fz/6fz.php" TargetMode="External"/><Relationship Id="rId20" Type="http://schemas.openxmlformats.org/officeDocument/2006/relationships/hyperlink" Target="http://www.kspvo.ru/docs/fz/6fz.php" TargetMode="External"/><Relationship Id="rId29" Type="http://schemas.openxmlformats.org/officeDocument/2006/relationships/hyperlink" Target="http://www.kspvo.ru/docs/fz/6fz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pvo.ru/docs/fz/6fz.php" TargetMode="External"/><Relationship Id="rId24" Type="http://schemas.openxmlformats.org/officeDocument/2006/relationships/hyperlink" Target="http://www.kspvo.ru/docs/fz/6fz.php" TargetMode="External"/><Relationship Id="rId32" Type="http://schemas.openxmlformats.org/officeDocument/2006/relationships/hyperlink" Target="http://www.kspvo.ru/docs/fz/6fz.ph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spvo.ru/docs/fz/6fz.php" TargetMode="External"/><Relationship Id="rId23" Type="http://schemas.openxmlformats.org/officeDocument/2006/relationships/hyperlink" Target="http://www.kspvo.ru/docs/fz/6fz.php" TargetMode="External"/><Relationship Id="rId28" Type="http://schemas.openxmlformats.org/officeDocument/2006/relationships/hyperlink" Target="http://www.kspvo.ru/docs/fz/6fz.php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kspvo.ru/docs/fz/6fz.php" TargetMode="External"/><Relationship Id="rId19" Type="http://schemas.openxmlformats.org/officeDocument/2006/relationships/hyperlink" Target="http://www.kspvo.ru/docs/fz/6fz.php" TargetMode="External"/><Relationship Id="rId31" Type="http://schemas.openxmlformats.org/officeDocument/2006/relationships/hyperlink" Target="http://www.kspvo.ru/docs/fz/6fz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vo.ru/docs/fz/6fz.php" TargetMode="External"/><Relationship Id="rId14" Type="http://schemas.openxmlformats.org/officeDocument/2006/relationships/hyperlink" Target="http://www.kspvo.ru/docs/fz/6fz.php" TargetMode="External"/><Relationship Id="rId22" Type="http://schemas.openxmlformats.org/officeDocument/2006/relationships/hyperlink" Target="http://www.kspvo.ru/docs/fz/6fz.php" TargetMode="External"/><Relationship Id="rId27" Type="http://schemas.openxmlformats.org/officeDocument/2006/relationships/hyperlink" Target="http://www.kspvo.ru/docs/fz/6fz.php" TargetMode="External"/><Relationship Id="rId30" Type="http://schemas.openxmlformats.org/officeDocument/2006/relationships/hyperlink" Target="http://www.kspvo.ru/docs/fz/6fz.php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Links>
    <vt:vector size="162" baseType="variant">
      <vt:variant>
        <vt:i4>7798880</vt:i4>
      </vt:variant>
      <vt:variant>
        <vt:i4>78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75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72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66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63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60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57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54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51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48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45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42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39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36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33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30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27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21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18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15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12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9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6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2023-03-17T10:42:00Z</cp:lastPrinted>
  <dcterms:created xsi:type="dcterms:W3CDTF">2023-05-19T07:05:00Z</dcterms:created>
  <dcterms:modified xsi:type="dcterms:W3CDTF">2023-05-19T07:18:00Z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