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5E74D270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B844F1">
        <w:rPr>
          <w:b/>
          <w:sz w:val="28"/>
          <w:szCs w:val="28"/>
        </w:rPr>
        <w:t>мая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6FA163B0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B844F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001AA655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(в редакции решения Муниципального собрания Харовского района №1 от 15.02.2022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CA6439">
        <w:rPr>
          <w:sz w:val="28"/>
          <w:szCs w:val="28"/>
        </w:rPr>
        <w:t>768,</w:t>
      </w:r>
      <w:r w:rsidR="0033257E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CA6439">
        <w:rPr>
          <w:sz w:val="28"/>
          <w:szCs w:val="28"/>
        </w:rPr>
        <w:t>145,6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777,8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1013B523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C63C7E">
        <w:rPr>
          <w:sz w:val="28"/>
          <w:szCs w:val="28"/>
        </w:rPr>
        <w:t>мая</w:t>
      </w:r>
      <w:r w:rsidR="009A5EB7">
        <w:rPr>
          <w:sz w:val="28"/>
          <w:szCs w:val="28"/>
        </w:rPr>
        <w:t xml:space="preserve"> 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5E4CA6">
        <w:rPr>
          <w:sz w:val="28"/>
          <w:szCs w:val="28"/>
        </w:rPr>
        <w:t>23,6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5E4CA6">
        <w:rPr>
          <w:sz w:val="28"/>
          <w:szCs w:val="28"/>
        </w:rPr>
        <w:t>181,6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5E4CA6">
        <w:rPr>
          <w:sz w:val="28"/>
          <w:szCs w:val="28"/>
        </w:rPr>
        <w:t>32</w:t>
      </w:r>
      <w:r w:rsidR="00AB60D7">
        <w:rPr>
          <w:sz w:val="28"/>
          <w:szCs w:val="28"/>
        </w:rPr>
        <w:t>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5E4CA6">
        <w:rPr>
          <w:sz w:val="28"/>
          <w:szCs w:val="28"/>
        </w:rPr>
        <w:t>47,4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5E4CA6">
        <w:rPr>
          <w:sz w:val="28"/>
          <w:szCs w:val="28"/>
        </w:rPr>
        <w:t>23,8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5E4CA6">
        <w:rPr>
          <w:sz w:val="28"/>
          <w:szCs w:val="28"/>
        </w:rPr>
        <w:t>185,0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6B5E8C67" w:rsidR="00CC6C5F" w:rsidRDefault="005E4CA6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3D3824" wp14:editId="5AE9A403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99ae18a96c54fd3/&#1044;&#1086;&#1082;&#1091;&#1084;&#1077;&#1085;&#1090;&#1099;/&#1048;&#1085;&#1092;&#1086;&#1088;&#1084;&#1072;&#1094;&#1080;&#1103;%20&#1076;&#1083;&#1103;%20&#1089;&#1072;&#1081;&#1090;&#1072;%20&#1072;&#1076;&#1084;&#1080;&#1085;&#1080;&#1089;&#1090;&#1088;&#1072;&#1094;&#1080;&#1080;/&#1085;&#1072;%2001.04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CA0-43A7-A243-0E042787E80B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A0-43A7-A243-0E042787E80B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CA0-43A7-A243-0E042787E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768.6</c:v>
                </c:pt>
                <c:pt idx="1">
                  <c:v>145.6</c:v>
                </c:pt>
                <c:pt idx="2">
                  <c:v>777.8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CA0-43A7-A243-0E042787E80B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01.05.2022г.,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CA0-43A7-A243-0E042787E80B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CA0-43A7-A243-0E042787E80B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DCA0-43A7-A243-0E042787E8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181.6</c:v>
                </c:pt>
                <c:pt idx="1">
                  <c:v>47.4</c:v>
                </c:pt>
                <c:pt idx="2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CA0-43A7-A243-0E042787E8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0EB7-2F42-4BB9-8944-114FC15B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</cp:revision>
  <cp:lastPrinted>2022-05-12T05:24:00Z</cp:lastPrinted>
  <dcterms:created xsi:type="dcterms:W3CDTF">2022-05-12T13:47:00Z</dcterms:created>
  <dcterms:modified xsi:type="dcterms:W3CDTF">2022-05-12T13:47:00Z</dcterms:modified>
</cp:coreProperties>
</file>